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B68F" w14:textId="7905953D" w:rsidR="005F66CC" w:rsidRPr="00681943" w:rsidRDefault="00292A47" w:rsidP="00681943">
      <w:pPr>
        <w:jc w:val="center"/>
        <w:rPr>
          <w:rFonts w:ascii="Arial" w:hAnsi="Arial" w:cs="Arial"/>
          <w:b/>
          <w:bCs/>
          <w:sz w:val="24"/>
          <w:szCs w:val="24"/>
          <w:u w:val="single"/>
        </w:rPr>
      </w:pPr>
      <w:r w:rsidRPr="00F72486">
        <w:rPr>
          <w:rFonts w:ascii="Arial" w:hAnsi="Arial" w:cs="Arial"/>
          <w:b/>
          <w:bCs/>
          <w:sz w:val="24"/>
          <w:szCs w:val="24"/>
          <w:u w:val="single"/>
        </w:rPr>
        <w:t xml:space="preserve">Scrutiny Performance Monitoring – Written Responses to Questions from Finance and Performance Panel </w:t>
      </w:r>
      <w:r w:rsidR="00F72486" w:rsidRPr="00F72486">
        <w:rPr>
          <w:rFonts w:ascii="Arial" w:hAnsi="Arial" w:cs="Arial"/>
          <w:b/>
          <w:bCs/>
          <w:sz w:val="24"/>
          <w:szCs w:val="24"/>
          <w:u w:val="single"/>
        </w:rPr>
        <w:t>06 September 2023</w:t>
      </w:r>
    </w:p>
    <w:tbl>
      <w:tblPr>
        <w:tblStyle w:val="TableGrid"/>
        <w:tblW w:w="0" w:type="auto"/>
        <w:tblLook w:val="04A0" w:firstRow="1" w:lastRow="0" w:firstColumn="1" w:lastColumn="0" w:noHBand="0" w:noVBand="1"/>
      </w:tblPr>
      <w:tblGrid>
        <w:gridCol w:w="1230"/>
        <w:gridCol w:w="2815"/>
        <w:gridCol w:w="1417"/>
        <w:gridCol w:w="4354"/>
        <w:gridCol w:w="4132"/>
      </w:tblGrid>
      <w:tr w:rsidR="005F66CC" w:rsidRPr="00F72486" w14:paraId="23509749" w14:textId="77777777" w:rsidTr="007A3EEA">
        <w:tc>
          <w:tcPr>
            <w:tcW w:w="1129" w:type="dxa"/>
            <w:shd w:val="clear" w:color="auto" w:fill="D9D9D9" w:themeFill="background1" w:themeFillShade="D9"/>
          </w:tcPr>
          <w:p w14:paraId="3FD270A9" w14:textId="6AA01458" w:rsidR="005F66CC" w:rsidRPr="00F72486" w:rsidRDefault="005F66CC">
            <w:pPr>
              <w:rPr>
                <w:rFonts w:ascii="Arial" w:hAnsi="Arial" w:cs="Arial"/>
                <w:b/>
                <w:bCs/>
                <w:sz w:val="24"/>
                <w:szCs w:val="24"/>
              </w:rPr>
            </w:pPr>
            <w:r w:rsidRPr="00F72486">
              <w:rPr>
                <w:rFonts w:ascii="Arial" w:hAnsi="Arial" w:cs="Arial"/>
                <w:b/>
                <w:bCs/>
                <w:sz w:val="24"/>
                <w:szCs w:val="24"/>
              </w:rPr>
              <w:t>Measure</w:t>
            </w:r>
          </w:p>
        </w:tc>
        <w:tc>
          <w:tcPr>
            <w:tcW w:w="2835" w:type="dxa"/>
            <w:shd w:val="clear" w:color="auto" w:fill="D9D9D9" w:themeFill="background1" w:themeFillShade="D9"/>
          </w:tcPr>
          <w:p w14:paraId="0738E6E7" w14:textId="55D86E27" w:rsidR="005F66CC" w:rsidRPr="00F72486" w:rsidRDefault="005F66CC">
            <w:pPr>
              <w:rPr>
                <w:rFonts w:ascii="Arial" w:hAnsi="Arial" w:cs="Arial"/>
                <w:b/>
                <w:bCs/>
                <w:sz w:val="24"/>
                <w:szCs w:val="24"/>
              </w:rPr>
            </w:pPr>
            <w:r w:rsidRPr="00F72486">
              <w:rPr>
                <w:rFonts w:ascii="Arial" w:hAnsi="Arial" w:cs="Arial"/>
                <w:b/>
                <w:bCs/>
                <w:sz w:val="24"/>
                <w:szCs w:val="24"/>
              </w:rPr>
              <w:t>Name</w:t>
            </w:r>
          </w:p>
        </w:tc>
        <w:tc>
          <w:tcPr>
            <w:tcW w:w="1418" w:type="dxa"/>
            <w:shd w:val="clear" w:color="auto" w:fill="D9D9D9" w:themeFill="background1" w:themeFillShade="D9"/>
          </w:tcPr>
          <w:p w14:paraId="2CFEE7CA" w14:textId="6D1DB5F7" w:rsidR="005F66CC" w:rsidRPr="00F72486" w:rsidRDefault="005F66CC">
            <w:pPr>
              <w:rPr>
                <w:rFonts w:ascii="Arial" w:hAnsi="Arial" w:cs="Arial"/>
                <w:b/>
                <w:bCs/>
                <w:sz w:val="24"/>
                <w:szCs w:val="24"/>
              </w:rPr>
            </w:pPr>
            <w:r w:rsidRPr="00F72486">
              <w:rPr>
                <w:rFonts w:ascii="Arial" w:hAnsi="Arial" w:cs="Arial"/>
                <w:b/>
                <w:bCs/>
                <w:sz w:val="24"/>
                <w:szCs w:val="24"/>
              </w:rPr>
              <w:t>Owner</w:t>
            </w:r>
          </w:p>
        </w:tc>
        <w:tc>
          <w:tcPr>
            <w:tcW w:w="4394" w:type="dxa"/>
            <w:shd w:val="clear" w:color="auto" w:fill="D9D9D9" w:themeFill="background1" w:themeFillShade="D9"/>
          </w:tcPr>
          <w:p w14:paraId="4A0EE8E1" w14:textId="7170C277" w:rsidR="005F66CC" w:rsidRPr="00F72486" w:rsidRDefault="005F66CC">
            <w:pPr>
              <w:rPr>
                <w:rFonts w:ascii="Arial" w:hAnsi="Arial" w:cs="Arial"/>
                <w:b/>
                <w:bCs/>
                <w:sz w:val="24"/>
                <w:szCs w:val="24"/>
              </w:rPr>
            </w:pPr>
            <w:r w:rsidRPr="00F72486">
              <w:rPr>
                <w:rFonts w:ascii="Arial" w:hAnsi="Arial" w:cs="Arial"/>
                <w:b/>
                <w:bCs/>
                <w:sz w:val="24"/>
                <w:szCs w:val="24"/>
              </w:rPr>
              <w:t>Question</w:t>
            </w:r>
          </w:p>
        </w:tc>
        <w:tc>
          <w:tcPr>
            <w:tcW w:w="4172" w:type="dxa"/>
            <w:shd w:val="clear" w:color="auto" w:fill="D9D9D9" w:themeFill="background1" w:themeFillShade="D9"/>
          </w:tcPr>
          <w:p w14:paraId="3908D7EE" w14:textId="2C4F93E6" w:rsidR="005F66CC" w:rsidRPr="00F72486" w:rsidRDefault="005F66CC">
            <w:pPr>
              <w:rPr>
                <w:rFonts w:ascii="Arial" w:hAnsi="Arial" w:cs="Arial"/>
                <w:b/>
                <w:bCs/>
                <w:sz w:val="24"/>
                <w:szCs w:val="24"/>
              </w:rPr>
            </w:pPr>
            <w:r w:rsidRPr="00F72486">
              <w:rPr>
                <w:rFonts w:ascii="Arial" w:hAnsi="Arial" w:cs="Arial"/>
                <w:b/>
                <w:bCs/>
                <w:sz w:val="24"/>
                <w:szCs w:val="24"/>
              </w:rPr>
              <w:t>Response</w:t>
            </w:r>
          </w:p>
        </w:tc>
      </w:tr>
      <w:tr w:rsidR="005F66CC" w:rsidRPr="00F72486" w14:paraId="4D75D63D" w14:textId="77777777" w:rsidTr="00603C31">
        <w:tc>
          <w:tcPr>
            <w:tcW w:w="1129" w:type="dxa"/>
            <w:shd w:val="clear" w:color="auto" w:fill="F2F2F2" w:themeFill="background1" w:themeFillShade="F2"/>
          </w:tcPr>
          <w:p w14:paraId="65C88C7B" w14:textId="1D355B81" w:rsidR="005F66CC" w:rsidRPr="00F72486" w:rsidRDefault="005F66CC" w:rsidP="005F66CC">
            <w:pPr>
              <w:rPr>
                <w:rFonts w:ascii="Arial" w:hAnsi="Arial" w:cs="Arial"/>
                <w:sz w:val="24"/>
                <w:szCs w:val="24"/>
              </w:rPr>
            </w:pPr>
            <w:r w:rsidRPr="00F72486">
              <w:rPr>
                <w:rFonts w:ascii="Arial" w:hAnsi="Arial" w:cs="Arial"/>
                <w:sz w:val="24"/>
                <w:szCs w:val="24"/>
              </w:rPr>
              <w:t>BI038</w:t>
            </w:r>
          </w:p>
        </w:tc>
        <w:tc>
          <w:tcPr>
            <w:tcW w:w="2835" w:type="dxa"/>
            <w:shd w:val="clear" w:color="auto" w:fill="F2F2F2" w:themeFill="background1" w:themeFillShade="F2"/>
          </w:tcPr>
          <w:p w14:paraId="59C23707" w14:textId="43FE6705" w:rsidR="005F66CC" w:rsidRPr="00F72486" w:rsidRDefault="005F66CC" w:rsidP="005F66CC">
            <w:pPr>
              <w:rPr>
                <w:rFonts w:ascii="Arial" w:hAnsi="Arial" w:cs="Arial"/>
                <w:sz w:val="24"/>
                <w:szCs w:val="24"/>
              </w:rPr>
            </w:pPr>
            <w:r w:rsidRPr="00F72486">
              <w:rPr>
                <w:rFonts w:ascii="Arial" w:eastAsia="Times New Roman" w:hAnsi="Arial" w:cs="Arial"/>
                <w:sz w:val="24"/>
                <w:szCs w:val="24"/>
                <w:lang w:eastAsia="en-GB"/>
              </w:rPr>
              <w:t>Percentage of staff turnover for the whole organisation</w:t>
            </w:r>
          </w:p>
        </w:tc>
        <w:tc>
          <w:tcPr>
            <w:tcW w:w="1418" w:type="dxa"/>
            <w:shd w:val="clear" w:color="auto" w:fill="F2F2F2" w:themeFill="background1" w:themeFillShade="F2"/>
          </w:tcPr>
          <w:p w14:paraId="0AC5FA69" w14:textId="211A009B" w:rsidR="005F66CC" w:rsidRPr="00F72486" w:rsidRDefault="005F66CC" w:rsidP="005F66CC">
            <w:pPr>
              <w:rPr>
                <w:rFonts w:ascii="Arial" w:hAnsi="Arial" w:cs="Arial"/>
                <w:sz w:val="24"/>
                <w:szCs w:val="24"/>
              </w:rPr>
            </w:pPr>
            <w:r w:rsidRPr="00F72486">
              <w:rPr>
                <w:rFonts w:ascii="Arial" w:hAnsi="Arial" w:cs="Arial"/>
                <w:sz w:val="24"/>
                <w:szCs w:val="24"/>
              </w:rPr>
              <w:t>Helen Bishop</w:t>
            </w:r>
          </w:p>
        </w:tc>
        <w:tc>
          <w:tcPr>
            <w:tcW w:w="4394" w:type="dxa"/>
            <w:shd w:val="clear" w:color="auto" w:fill="F2F2F2" w:themeFill="background1" w:themeFillShade="F2"/>
          </w:tcPr>
          <w:p w14:paraId="68245314" w14:textId="1F17A790" w:rsidR="005F66CC" w:rsidRPr="00F72486" w:rsidRDefault="005F66CC" w:rsidP="005F66CC">
            <w:pPr>
              <w:rPr>
                <w:rFonts w:ascii="Arial" w:hAnsi="Arial" w:cs="Arial"/>
                <w:sz w:val="24"/>
                <w:szCs w:val="24"/>
              </w:rPr>
            </w:pPr>
            <w:r w:rsidRPr="00F72486">
              <w:rPr>
                <w:rFonts w:ascii="Arial" w:hAnsi="Arial" w:cs="Arial"/>
                <w:sz w:val="24"/>
                <w:szCs w:val="24"/>
              </w:rPr>
              <w:t>What was the target for the end of 2022/23?</w:t>
            </w:r>
          </w:p>
        </w:tc>
        <w:tc>
          <w:tcPr>
            <w:tcW w:w="4172" w:type="dxa"/>
            <w:shd w:val="clear" w:color="auto" w:fill="F2F2F2" w:themeFill="background1" w:themeFillShade="F2"/>
          </w:tcPr>
          <w:p w14:paraId="5494044D" w14:textId="630BD1CD" w:rsidR="005F66CC" w:rsidRPr="00F72486" w:rsidRDefault="00133563" w:rsidP="00133563">
            <w:pPr>
              <w:rPr>
                <w:rFonts w:ascii="Arial" w:hAnsi="Arial" w:cs="Arial"/>
                <w:sz w:val="24"/>
                <w:szCs w:val="24"/>
              </w:rPr>
            </w:pPr>
            <w:r w:rsidRPr="00F72486">
              <w:rPr>
                <w:rFonts w:ascii="Arial" w:hAnsi="Arial" w:cs="Arial"/>
                <w:sz w:val="24"/>
                <w:szCs w:val="24"/>
              </w:rPr>
              <w:t>There was no target for staff turnover in 2022/23 and there has never been a target. </w:t>
            </w:r>
          </w:p>
        </w:tc>
      </w:tr>
      <w:tr w:rsidR="005F66CC" w:rsidRPr="00F72486" w14:paraId="3ECD884F" w14:textId="77777777" w:rsidTr="00603C31">
        <w:tc>
          <w:tcPr>
            <w:tcW w:w="1129" w:type="dxa"/>
            <w:shd w:val="clear" w:color="auto" w:fill="F2F2F2" w:themeFill="background1" w:themeFillShade="F2"/>
          </w:tcPr>
          <w:p w14:paraId="4AB3E859" w14:textId="77777777" w:rsidR="005F66CC" w:rsidRPr="00F72486" w:rsidRDefault="005F66CC" w:rsidP="005F66CC">
            <w:pPr>
              <w:rPr>
                <w:rFonts w:ascii="Arial" w:hAnsi="Arial" w:cs="Arial"/>
                <w:sz w:val="24"/>
                <w:szCs w:val="24"/>
              </w:rPr>
            </w:pPr>
          </w:p>
        </w:tc>
        <w:tc>
          <w:tcPr>
            <w:tcW w:w="2835" w:type="dxa"/>
            <w:shd w:val="clear" w:color="auto" w:fill="F2F2F2" w:themeFill="background1" w:themeFillShade="F2"/>
          </w:tcPr>
          <w:p w14:paraId="72E578EB" w14:textId="77777777" w:rsidR="005F66CC" w:rsidRPr="00F72486" w:rsidRDefault="005F66CC" w:rsidP="005F66CC">
            <w:pPr>
              <w:rPr>
                <w:rFonts w:ascii="Arial" w:eastAsia="Times New Roman" w:hAnsi="Arial" w:cs="Arial"/>
                <w:sz w:val="24"/>
                <w:szCs w:val="24"/>
                <w:lang w:eastAsia="en-GB"/>
              </w:rPr>
            </w:pPr>
          </w:p>
        </w:tc>
        <w:tc>
          <w:tcPr>
            <w:tcW w:w="1418" w:type="dxa"/>
            <w:shd w:val="clear" w:color="auto" w:fill="F2F2F2" w:themeFill="background1" w:themeFillShade="F2"/>
          </w:tcPr>
          <w:p w14:paraId="685CC05C" w14:textId="77777777" w:rsidR="005F66CC" w:rsidRPr="00F72486" w:rsidRDefault="005F66CC" w:rsidP="005F66CC">
            <w:pPr>
              <w:rPr>
                <w:rFonts w:ascii="Arial" w:hAnsi="Arial" w:cs="Arial"/>
                <w:sz w:val="24"/>
                <w:szCs w:val="24"/>
              </w:rPr>
            </w:pPr>
          </w:p>
        </w:tc>
        <w:tc>
          <w:tcPr>
            <w:tcW w:w="4394" w:type="dxa"/>
            <w:shd w:val="clear" w:color="auto" w:fill="F2F2F2" w:themeFill="background1" w:themeFillShade="F2"/>
          </w:tcPr>
          <w:p w14:paraId="494C8654" w14:textId="522849FD" w:rsidR="005F66CC" w:rsidRPr="00F72486" w:rsidRDefault="005F66CC" w:rsidP="005F66CC">
            <w:pPr>
              <w:spacing w:after="160" w:line="259" w:lineRule="auto"/>
              <w:rPr>
                <w:rFonts w:ascii="Arial" w:hAnsi="Arial" w:cs="Arial"/>
                <w:color w:val="FF0000"/>
                <w:sz w:val="24"/>
                <w:szCs w:val="24"/>
              </w:rPr>
            </w:pPr>
            <w:r w:rsidRPr="00F72486">
              <w:rPr>
                <w:rFonts w:ascii="Arial" w:hAnsi="Arial" w:cs="Arial"/>
                <w:sz w:val="24"/>
                <w:szCs w:val="24"/>
              </w:rPr>
              <w:t>Can commentary be provided on the reason for the increase in percentage staff turnover; and what was the target for Q1 2023/24?</w:t>
            </w:r>
          </w:p>
        </w:tc>
        <w:tc>
          <w:tcPr>
            <w:tcW w:w="4172" w:type="dxa"/>
            <w:shd w:val="clear" w:color="auto" w:fill="F2F2F2" w:themeFill="background1" w:themeFillShade="F2"/>
          </w:tcPr>
          <w:p w14:paraId="1E1DBE75" w14:textId="5F1B8700" w:rsidR="00133563" w:rsidRPr="00F72486" w:rsidRDefault="00133563" w:rsidP="00133563">
            <w:pPr>
              <w:rPr>
                <w:rFonts w:ascii="Arial" w:hAnsi="Arial" w:cs="Arial"/>
                <w:sz w:val="24"/>
                <w:szCs w:val="24"/>
              </w:rPr>
            </w:pPr>
            <w:r w:rsidRPr="00F72486">
              <w:rPr>
                <w:rFonts w:ascii="Arial" w:hAnsi="Arial" w:cs="Arial"/>
                <w:sz w:val="24"/>
                <w:szCs w:val="24"/>
              </w:rPr>
              <w:t>There is no target for staff turnover for 2023/24.</w:t>
            </w:r>
          </w:p>
          <w:p w14:paraId="506D3663" w14:textId="49634265" w:rsidR="00133563" w:rsidRPr="00F72486" w:rsidRDefault="00133563" w:rsidP="00133563">
            <w:pPr>
              <w:rPr>
                <w:rFonts w:ascii="Arial" w:hAnsi="Arial" w:cs="Arial"/>
                <w:sz w:val="24"/>
                <w:szCs w:val="24"/>
              </w:rPr>
            </w:pPr>
            <w:r w:rsidRPr="00F72486">
              <w:rPr>
                <w:rFonts w:ascii="Arial" w:hAnsi="Arial" w:cs="Arial"/>
                <w:sz w:val="24"/>
                <w:szCs w:val="24"/>
              </w:rPr>
              <w:t>The turnover reported at the end of March 2023 and at quarter 1 for 2023/24 are both calculated using the average of turnover for the previous 12 months.   </w:t>
            </w:r>
          </w:p>
          <w:p w14:paraId="21B79F2A" w14:textId="4DD6FFE7" w:rsidR="00133563" w:rsidRPr="00F72486" w:rsidRDefault="00133563" w:rsidP="00133563">
            <w:pPr>
              <w:rPr>
                <w:rFonts w:ascii="Arial" w:hAnsi="Arial" w:cs="Arial"/>
                <w:sz w:val="24"/>
                <w:szCs w:val="24"/>
              </w:rPr>
            </w:pPr>
            <w:r w:rsidRPr="00F72486">
              <w:rPr>
                <w:rFonts w:ascii="Arial" w:hAnsi="Arial" w:cs="Arial"/>
                <w:sz w:val="24"/>
                <w:szCs w:val="24"/>
              </w:rPr>
              <w:t xml:space="preserve">The difference between annual turnover rates of 7.31% and 8.72% is circa 10 more leavers in a </w:t>
            </w:r>
            <w:r w:rsidR="00731063" w:rsidRPr="00F72486">
              <w:rPr>
                <w:rFonts w:ascii="Arial" w:hAnsi="Arial" w:cs="Arial"/>
                <w:sz w:val="24"/>
                <w:szCs w:val="24"/>
              </w:rPr>
              <w:t>12-month</w:t>
            </w:r>
            <w:r w:rsidRPr="00F72486">
              <w:rPr>
                <w:rFonts w:ascii="Arial" w:hAnsi="Arial" w:cs="Arial"/>
                <w:sz w:val="24"/>
                <w:szCs w:val="24"/>
              </w:rPr>
              <w:t xml:space="preserve"> period for a workforce of circa 800 people. This is not significant.</w:t>
            </w:r>
          </w:p>
          <w:p w14:paraId="08F82885" w14:textId="77777777" w:rsidR="005F66CC" w:rsidRDefault="00133563" w:rsidP="00133563">
            <w:pPr>
              <w:spacing w:after="160" w:line="259" w:lineRule="auto"/>
              <w:rPr>
                <w:rFonts w:ascii="Arial" w:hAnsi="Arial" w:cs="Arial"/>
                <w:sz w:val="24"/>
                <w:szCs w:val="24"/>
              </w:rPr>
            </w:pPr>
            <w:r w:rsidRPr="00F72486">
              <w:rPr>
                <w:rFonts w:ascii="Arial" w:hAnsi="Arial" w:cs="Arial"/>
                <w:sz w:val="24"/>
                <w:szCs w:val="24"/>
              </w:rPr>
              <w:t xml:space="preserve">To provide context, according to the LGA Workforce survey for 2021/22 the median vacancy rate in local government was 14.0%. This suggests the turnover rate for the Council is not high. Hence turnover is reported </w:t>
            </w:r>
            <w:proofErr w:type="gramStart"/>
            <w:r w:rsidRPr="00F72486">
              <w:rPr>
                <w:rFonts w:ascii="Arial" w:hAnsi="Arial" w:cs="Arial"/>
                <w:sz w:val="24"/>
                <w:szCs w:val="24"/>
              </w:rPr>
              <w:t>at the moment</w:t>
            </w:r>
            <w:proofErr w:type="gramEnd"/>
            <w:r w:rsidRPr="00F72486">
              <w:rPr>
                <w:rFonts w:ascii="Arial" w:hAnsi="Arial" w:cs="Arial"/>
                <w:sz w:val="24"/>
                <w:szCs w:val="24"/>
              </w:rPr>
              <w:t xml:space="preserve"> as part of a suite of workforce management information and not with an associated target.  </w:t>
            </w:r>
          </w:p>
          <w:p w14:paraId="17CA167D" w14:textId="663B389F" w:rsidR="00681943" w:rsidRPr="00F72486" w:rsidRDefault="00681943" w:rsidP="00133563">
            <w:pPr>
              <w:spacing w:after="160" w:line="259" w:lineRule="auto"/>
              <w:rPr>
                <w:rFonts w:ascii="Arial" w:hAnsi="Arial" w:cs="Arial"/>
                <w:sz w:val="24"/>
                <w:szCs w:val="24"/>
              </w:rPr>
            </w:pPr>
          </w:p>
        </w:tc>
      </w:tr>
      <w:tr w:rsidR="008F7E5E" w:rsidRPr="00F72486" w14:paraId="2303EEBA" w14:textId="77777777" w:rsidTr="007A3EEA">
        <w:tc>
          <w:tcPr>
            <w:tcW w:w="1129" w:type="dxa"/>
          </w:tcPr>
          <w:p w14:paraId="2995F9BE" w14:textId="7AA286E4" w:rsidR="008F7E5E" w:rsidRPr="00F72486" w:rsidRDefault="008F7E5E" w:rsidP="005F66CC">
            <w:pPr>
              <w:rPr>
                <w:rFonts w:ascii="Arial" w:hAnsi="Arial" w:cs="Arial"/>
                <w:sz w:val="24"/>
                <w:szCs w:val="24"/>
              </w:rPr>
            </w:pPr>
            <w:r w:rsidRPr="00F72486">
              <w:rPr>
                <w:rFonts w:ascii="Arial" w:hAnsi="Arial" w:cs="Arial"/>
                <w:bCs/>
                <w:sz w:val="24"/>
                <w:szCs w:val="24"/>
              </w:rPr>
              <w:lastRenderedPageBreak/>
              <w:t>CH001</w:t>
            </w:r>
          </w:p>
        </w:tc>
        <w:tc>
          <w:tcPr>
            <w:tcW w:w="2835" w:type="dxa"/>
          </w:tcPr>
          <w:p w14:paraId="799ABD38" w14:textId="22379BE8" w:rsidR="008F7E5E" w:rsidRPr="00F72486" w:rsidRDefault="008F7E5E"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Days lost to sickness</w:t>
            </w:r>
          </w:p>
        </w:tc>
        <w:tc>
          <w:tcPr>
            <w:tcW w:w="1418" w:type="dxa"/>
          </w:tcPr>
          <w:p w14:paraId="405A0D52" w14:textId="41BF1E6C" w:rsidR="008F7E5E" w:rsidRPr="00F72486" w:rsidRDefault="008F7E5E" w:rsidP="005F66CC">
            <w:pPr>
              <w:rPr>
                <w:rFonts w:ascii="Arial" w:hAnsi="Arial" w:cs="Arial"/>
                <w:sz w:val="24"/>
                <w:szCs w:val="24"/>
              </w:rPr>
            </w:pPr>
            <w:r w:rsidRPr="00F72486">
              <w:rPr>
                <w:rFonts w:ascii="Arial" w:hAnsi="Arial" w:cs="Arial"/>
                <w:sz w:val="24"/>
                <w:szCs w:val="24"/>
              </w:rPr>
              <w:t>Gail Malkin</w:t>
            </w:r>
          </w:p>
        </w:tc>
        <w:tc>
          <w:tcPr>
            <w:tcW w:w="4394" w:type="dxa"/>
          </w:tcPr>
          <w:p w14:paraId="59BDE5EB" w14:textId="4B4B67F3" w:rsidR="008F7E5E" w:rsidRPr="00F72486" w:rsidRDefault="008F7E5E" w:rsidP="005F66CC">
            <w:pPr>
              <w:rPr>
                <w:rFonts w:ascii="Arial" w:hAnsi="Arial" w:cs="Arial"/>
                <w:sz w:val="24"/>
                <w:szCs w:val="24"/>
              </w:rPr>
            </w:pPr>
            <w:r w:rsidRPr="00F72486">
              <w:rPr>
                <w:rFonts w:ascii="Arial" w:hAnsi="Arial" w:cs="Arial"/>
                <w:bCs/>
                <w:sz w:val="24"/>
                <w:szCs w:val="24"/>
              </w:rPr>
              <w:t xml:space="preserve">Is there a sense that staff take less sick days </w:t>
            </w:r>
            <w:proofErr w:type="gramStart"/>
            <w:r w:rsidRPr="00F72486">
              <w:rPr>
                <w:rFonts w:ascii="Arial" w:hAnsi="Arial" w:cs="Arial"/>
                <w:bCs/>
                <w:sz w:val="24"/>
                <w:szCs w:val="24"/>
              </w:rPr>
              <w:t>as a result of</w:t>
            </w:r>
            <w:proofErr w:type="gramEnd"/>
            <w:r w:rsidRPr="00F72486">
              <w:rPr>
                <w:rFonts w:ascii="Arial" w:hAnsi="Arial" w:cs="Arial"/>
                <w:bCs/>
                <w:sz w:val="24"/>
                <w:szCs w:val="24"/>
              </w:rPr>
              <w:t xml:space="preserve"> working remotely and not necessarily taking a day off? </w:t>
            </w:r>
          </w:p>
        </w:tc>
        <w:tc>
          <w:tcPr>
            <w:tcW w:w="4172" w:type="dxa"/>
            <w:vMerge w:val="restart"/>
          </w:tcPr>
          <w:p w14:paraId="08669D6A" w14:textId="49F017AF" w:rsidR="008F7E5E" w:rsidRPr="00F72486" w:rsidRDefault="008F7E5E" w:rsidP="008F7E5E">
            <w:pPr>
              <w:pStyle w:val="NormalWeb"/>
              <w:spacing w:before="0" w:beforeAutospacing="0" w:after="0" w:afterAutospacing="0"/>
              <w:rPr>
                <w:rFonts w:ascii="Arial" w:hAnsi="Arial" w:cs="Arial"/>
              </w:rPr>
            </w:pPr>
            <w:r w:rsidRPr="00F72486">
              <w:rPr>
                <w:rFonts w:ascii="Arial" w:hAnsi="Arial" w:cs="Arial"/>
                <w:shd w:val="clear" w:color="auto" w:fill="FFFFFF"/>
              </w:rPr>
              <w:t>The sickness target for 2022/23 was also 6.5 days/FTE - this has not changed in 2023/24.</w:t>
            </w:r>
          </w:p>
          <w:p w14:paraId="2EC5AB63" w14:textId="1D4831CE" w:rsidR="008F7E5E" w:rsidRPr="00F72486" w:rsidRDefault="008F7E5E" w:rsidP="008F7E5E">
            <w:pPr>
              <w:pStyle w:val="NormalWeb"/>
              <w:spacing w:before="240" w:beforeAutospacing="0" w:after="0" w:afterAutospacing="0"/>
              <w:rPr>
                <w:rFonts w:ascii="Arial" w:hAnsi="Arial" w:cs="Arial"/>
              </w:rPr>
            </w:pPr>
            <w:r w:rsidRPr="00F72486">
              <w:rPr>
                <w:rFonts w:ascii="Arial" w:hAnsi="Arial" w:cs="Arial"/>
                <w:shd w:val="clear" w:color="auto" w:fill="FFFFFF"/>
              </w:rPr>
              <w:t>Sickness absence is closely monitored and managed across the organisation. In the last 12 months, regular updates have gone to the Corporate Management Team (CMT) showing sickness absence for each service area. Those areas forecasting levels above 6.5 days are examined in more detail to understand causes and actions being taken to address.  </w:t>
            </w:r>
          </w:p>
          <w:p w14:paraId="4A4B0D2D" w14:textId="1D83311A" w:rsidR="008F7E5E" w:rsidRPr="00F72486" w:rsidRDefault="008F7E5E" w:rsidP="008F7E5E">
            <w:pPr>
              <w:pStyle w:val="NormalWeb"/>
              <w:spacing w:before="240" w:beforeAutospacing="0" w:after="240" w:afterAutospacing="0"/>
              <w:rPr>
                <w:rFonts w:ascii="Arial" w:hAnsi="Arial" w:cs="Arial"/>
              </w:rPr>
            </w:pPr>
            <w:r w:rsidRPr="00F72486">
              <w:rPr>
                <w:rFonts w:ascii="Arial" w:hAnsi="Arial" w:cs="Arial"/>
              </w:rPr>
              <w:t>In areas where absence is higher there is closer monitoring by managers using a range of mitigations to help colleagues stay in work, often supported by a formal case review process every few months where the service head and line manager review relevant cases. A script is also in use in parts of the business to guide managers in taking calls from colleagues calling in sick.  </w:t>
            </w:r>
          </w:p>
          <w:p w14:paraId="4AE968DE" w14:textId="3E581570" w:rsidR="008F7E5E" w:rsidRPr="00F72486" w:rsidRDefault="008F7E5E" w:rsidP="008F7E5E">
            <w:pPr>
              <w:pStyle w:val="NormalWeb"/>
              <w:spacing w:before="0" w:beforeAutospacing="0" w:after="240" w:afterAutospacing="0"/>
              <w:rPr>
                <w:rFonts w:ascii="Arial" w:hAnsi="Arial" w:cs="Arial"/>
              </w:rPr>
            </w:pPr>
            <w:r w:rsidRPr="00F72486">
              <w:rPr>
                <w:rFonts w:ascii="Arial" w:hAnsi="Arial" w:cs="Arial"/>
              </w:rPr>
              <w:t xml:space="preserve">The management information has not shown any indication that there are </w:t>
            </w:r>
            <w:proofErr w:type="gramStart"/>
            <w:r w:rsidRPr="00F72486">
              <w:rPr>
                <w:rFonts w:ascii="Arial" w:hAnsi="Arial" w:cs="Arial"/>
              </w:rPr>
              <w:t>less</w:t>
            </w:r>
            <w:proofErr w:type="gramEnd"/>
            <w:r w:rsidRPr="00F72486">
              <w:rPr>
                <w:rFonts w:ascii="Arial" w:hAnsi="Arial" w:cs="Arial"/>
              </w:rPr>
              <w:t xml:space="preserve"> sick days as a result of </w:t>
            </w:r>
            <w:r w:rsidRPr="00F72486">
              <w:rPr>
                <w:rFonts w:ascii="Arial" w:hAnsi="Arial" w:cs="Arial"/>
              </w:rPr>
              <w:lastRenderedPageBreak/>
              <w:t>people working remotely and not necessarily taking a day off.</w:t>
            </w:r>
          </w:p>
          <w:p w14:paraId="0E36DCE5" w14:textId="174223E3" w:rsidR="008F7E5E" w:rsidRPr="00F72486" w:rsidRDefault="008F7E5E" w:rsidP="008F7E5E">
            <w:pPr>
              <w:pStyle w:val="NormalWeb"/>
              <w:spacing w:before="0" w:beforeAutospacing="0" w:after="240" w:afterAutospacing="0"/>
              <w:rPr>
                <w:rFonts w:ascii="Arial" w:hAnsi="Arial" w:cs="Arial"/>
              </w:rPr>
            </w:pPr>
            <w:r w:rsidRPr="00F72486">
              <w:rPr>
                <w:rFonts w:ascii="Arial" w:hAnsi="Arial" w:cs="Arial"/>
              </w:rPr>
              <w:t>The management data does show so far in 2023/24, that compared to 31.10.22 the percentage of sickness that is attributed to short-term absence has reduced, which is positive.</w:t>
            </w:r>
          </w:p>
          <w:p w14:paraId="68C665D6" w14:textId="77777777" w:rsidR="008F7E5E" w:rsidRDefault="008F7E5E" w:rsidP="008F7E5E">
            <w:pPr>
              <w:pStyle w:val="NormalWeb"/>
              <w:spacing w:before="0" w:beforeAutospacing="0" w:after="0" w:afterAutospacing="0"/>
              <w:rPr>
                <w:rFonts w:ascii="Arial" w:hAnsi="Arial" w:cs="Arial"/>
              </w:rPr>
            </w:pPr>
            <w:r w:rsidRPr="00F72486">
              <w:rPr>
                <w:rFonts w:ascii="Arial" w:hAnsi="Arial" w:cs="Arial"/>
              </w:rPr>
              <w:t xml:space="preserve">Alongside service area activity, there is also an organisation-wide action plan designed to build a resilient and robust leadership approach in managing absence. Actions </w:t>
            </w:r>
            <w:proofErr w:type="gramStart"/>
            <w:r w:rsidRPr="00F72486">
              <w:rPr>
                <w:rFonts w:ascii="Arial" w:hAnsi="Arial" w:cs="Arial"/>
              </w:rPr>
              <w:t>include:</w:t>
            </w:r>
            <w:proofErr w:type="gramEnd"/>
            <w:r w:rsidRPr="00F72486">
              <w:rPr>
                <w:rFonts w:ascii="Arial" w:hAnsi="Arial" w:cs="Arial"/>
              </w:rPr>
              <w:t xml:space="preserve"> support to ensure staff and managers understand the role and service offer of both our occupational health and employee assistance providers; regular communications via in</w:t>
            </w:r>
            <w:r w:rsidR="00424F95" w:rsidRPr="00F72486">
              <w:rPr>
                <w:rFonts w:ascii="Arial" w:hAnsi="Arial" w:cs="Arial"/>
              </w:rPr>
              <w:t>-</w:t>
            </w:r>
            <w:r w:rsidRPr="00F72486">
              <w:rPr>
                <w:rFonts w:ascii="Arial" w:hAnsi="Arial" w:cs="Arial"/>
              </w:rPr>
              <w:t xml:space="preserve">house all staff emails, Let's </w:t>
            </w:r>
            <w:r w:rsidR="00424F95" w:rsidRPr="00F72486">
              <w:rPr>
                <w:rFonts w:ascii="Arial" w:hAnsi="Arial" w:cs="Arial"/>
              </w:rPr>
              <w:t>T</w:t>
            </w:r>
            <w:r w:rsidRPr="00F72486">
              <w:rPr>
                <w:rFonts w:ascii="Arial" w:hAnsi="Arial" w:cs="Arial"/>
              </w:rPr>
              <w:t xml:space="preserve">alk and Leadership Conversation sessions; the Wellbeing at Work Week in May 2023; a focus on performance management in our Leadership programme; and a robust governance and monitoring framework for absence in the organisation. </w:t>
            </w:r>
          </w:p>
          <w:p w14:paraId="652A4E1F" w14:textId="33373A5A" w:rsidR="00681943" w:rsidRPr="00F72486" w:rsidRDefault="00681943" w:rsidP="008F7E5E">
            <w:pPr>
              <w:pStyle w:val="NormalWeb"/>
              <w:spacing w:before="0" w:beforeAutospacing="0" w:after="0" w:afterAutospacing="0"/>
              <w:rPr>
                <w:rFonts w:ascii="Arial" w:hAnsi="Arial" w:cs="Arial"/>
              </w:rPr>
            </w:pPr>
          </w:p>
        </w:tc>
      </w:tr>
      <w:tr w:rsidR="008F7E5E" w:rsidRPr="00F72486" w14:paraId="29D7CFD1" w14:textId="77777777" w:rsidTr="007A3EEA">
        <w:tc>
          <w:tcPr>
            <w:tcW w:w="1129" w:type="dxa"/>
          </w:tcPr>
          <w:p w14:paraId="7E24C126" w14:textId="77777777" w:rsidR="008F7E5E" w:rsidRPr="00F72486" w:rsidRDefault="008F7E5E" w:rsidP="005F66CC">
            <w:pPr>
              <w:rPr>
                <w:rFonts w:ascii="Arial" w:hAnsi="Arial" w:cs="Arial"/>
                <w:bCs/>
                <w:sz w:val="24"/>
                <w:szCs w:val="24"/>
              </w:rPr>
            </w:pPr>
          </w:p>
        </w:tc>
        <w:tc>
          <w:tcPr>
            <w:tcW w:w="2835" w:type="dxa"/>
          </w:tcPr>
          <w:p w14:paraId="6312DC0B" w14:textId="77777777" w:rsidR="008F7E5E" w:rsidRPr="00F72486" w:rsidRDefault="008F7E5E" w:rsidP="005F66CC">
            <w:pPr>
              <w:rPr>
                <w:rFonts w:ascii="Arial" w:eastAsia="Times New Roman" w:hAnsi="Arial" w:cs="Arial"/>
                <w:sz w:val="24"/>
                <w:szCs w:val="24"/>
                <w:lang w:eastAsia="en-GB"/>
              </w:rPr>
            </w:pPr>
          </w:p>
        </w:tc>
        <w:tc>
          <w:tcPr>
            <w:tcW w:w="1418" w:type="dxa"/>
          </w:tcPr>
          <w:p w14:paraId="65907AF8" w14:textId="77777777" w:rsidR="008F7E5E" w:rsidRPr="00F72486" w:rsidRDefault="008F7E5E" w:rsidP="005F66CC">
            <w:pPr>
              <w:rPr>
                <w:rFonts w:ascii="Arial" w:hAnsi="Arial" w:cs="Arial"/>
                <w:sz w:val="24"/>
                <w:szCs w:val="24"/>
              </w:rPr>
            </w:pPr>
          </w:p>
        </w:tc>
        <w:tc>
          <w:tcPr>
            <w:tcW w:w="4394" w:type="dxa"/>
          </w:tcPr>
          <w:p w14:paraId="72CA684A" w14:textId="0288D6D7" w:rsidR="008F7E5E" w:rsidRPr="00F72486" w:rsidRDefault="008F7E5E" w:rsidP="005F66CC">
            <w:pPr>
              <w:rPr>
                <w:rFonts w:ascii="Arial" w:hAnsi="Arial" w:cs="Arial"/>
                <w:bCs/>
                <w:sz w:val="24"/>
                <w:szCs w:val="24"/>
              </w:rPr>
            </w:pPr>
            <w:r w:rsidRPr="00F72486">
              <w:rPr>
                <w:rFonts w:ascii="Arial" w:hAnsi="Arial" w:cs="Arial"/>
                <w:bCs/>
                <w:sz w:val="24"/>
                <w:szCs w:val="24"/>
              </w:rPr>
              <w:t>What is the rationale behind changing the target from 7.15 days to 6.5 days for 2023/24?</w:t>
            </w:r>
          </w:p>
        </w:tc>
        <w:tc>
          <w:tcPr>
            <w:tcW w:w="4172" w:type="dxa"/>
            <w:vMerge/>
          </w:tcPr>
          <w:p w14:paraId="5A0FC3CF" w14:textId="57083E8D" w:rsidR="008F7E5E" w:rsidRPr="00F72486" w:rsidRDefault="008F7E5E" w:rsidP="005F66CC">
            <w:pPr>
              <w:rPr>
                <w:rFonts w:ascii="Arial" w:hAnsi="Arial" w:cs="Arial"/>
                <w:sz w:val="24"/>
                <w:szCs w:val="24"/>
              </w:rPr>
            </w:pPr>
          </w:p>
        </w:tc>
      </w:tr>
      <w:tr w:rsidR="005F66CC" w:rsidRPr="00F72486" w14:paraId="53C53676" w14:textId="77777777" w:rsidTr="00603C31">
        <w:tc>
          <w:tcPr>
            <w:tcW w:w="1129" w:type="dxa"/>
            <w:shd w:val="clear" w:color="auto" w:fill="F2F2F2" w:themeFill="background1" w:themeFillShade="F2"/>
          </w:tcPr>
          <w:p w14:paraId="31CBEE49" w14:textId="0CE50DED" w:rsidR="005F66CC" w:rsidRPr="00F72486" w:rsidRDefault="005F66CC" w:rsidP="005F66CC">
            <w:pPr>
              <w:rPr>
                <w:rFonts w:ascii="Arial" w:hAnsi="Arial" w:cs="Arial"/>
                <w:bCs/>
                <w:sz w:val="24"/>
                <w:szCs w:val="24"/>
              </w:rPr>
            </w:pPr>
            <w:r w:rsidRPr="00F72486">
              <w:rPr>
                <w:rFonts w:ascii="Arial" w:hAnsi="Arial" w:cs="Arial"/>
                <w:bCs/>
                <w:sz w:val="24"/>
                <w:szCs w:val="24"/>
              </w:rPr>
              <w:lastRenderedPageBreak/>
              <w:t>CS003</w:t>
            </w:r>
          </w:p>
        </w:tc>
        <w:tc>
          <w:tcPr>
            <w:tcW w:w="2835" w:type="dxa"/>
            <w:shd w:val="clear" w:color="auto" w:fill="F2F2F2" w:themeFill="background1" w:themeFillShade="F2"/>
          </w:tcPr>
          <w:p w14:paraId="778128FA" w14:textId="4EBABBCF" w:rsidR="005F66CC" w:rsidRPr="00F72486" w:rsidRDefault="005F66CC"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Customers calls answered on the council's main telephone service lines without hanging up</w:t>
            </w:r>
          </w:p>
        </w:tc>
        <w:tc>
          <w:tcPr>
            <w:tcW w:w="1418" w:type="dxa"/>
            <w:shd w:val="clear" w:color="auto" w:fill="F2F2F2" w:themeFill="background1" w:themeFillShade="F2"/>
          </w:tcPr>
          <w:p w14:paraId="310E0372" w14:textId="7E0375CA" w:rsidR="005F66CC" w:rsidRPr="00F72486" w:rsidRDefault="005F66CC" w:rsidP="005F66CC">
            <w:pPr>
              <w:rPr>
                <w:rFonts w:ascii="Arial" w:hAnsi="Arial" w:cs="Arial"/>
                <w:sz w:val="24"/>
                <w:szCs w:val="24"/>
              </w:rPr>
            </w:pPr>
            <w:r w:rsidRPr="00F72486">
              <w:rPr>
                <w:rFonts w:ascii="Arial" w:hAnsi="Arial" w:cs="Arial"/>
                <w:sz w:val="24"/>
                <w:szCs w:val="24"/>
              </w:rPr>
              <w:t>Mark Chandler</w:t>
            </w:r>
          </w:p>
        </w:tc>
        <w:tc>
          <w:tcPr>
            <w:tcW w:w="4394" w:type="dxa"/>
            <w:shd w:val="clear" w:color="auto" w:fill="F2F2F2" w:themeFill="background1" w:themeFillShade="F2"/>
          </w:tcPr>
          <w:p w14:paraId="01A6F360" w14:textId="38B4B04F" w:rsidR="005F66CC" w:rsidRPr="00F72486" w:rsidRDefault="005F66CC" w:rsidP="005F66CC">
            <w:pPr>
              <w:rPr>
                <w:rFonts w:ascii="Arial" w:hAnsi="Arial" w:cs="Arial"/>
                <w:bCs/>
                <w:sz w:val="24"/>
                <w:szCs w:val="24"/>
              </w:rPr>
            </w:pPr>
            <w:r w:rsidRPr="00F72486">
              <w:rPr>
                <w:rFonts w:ascii="Arial" w:hAnsi="Arial" w:cs="Arial"/>
                <w:bCs/>
                <w:sz w:val="24"/>
                <w:szCs w:val="24"/>
              </w:rPr>
              <w:t>Is the very high call volume cited in the commentary expected to change with the Council moving to more digital methods of communicating with residents?</w:t>
            </w:r>
          </w:p>
        </w:tc>
        <w:tc>
          <w:tcPr>
            <w:tcW w:w="4172" w:type="dxa"/>
            <w:shd w:val="clear" w:color="auto" w:fill="F2F2F2" w:themeFill="background1" w:themeFillShade="F2"/>
          </w:tcPr>
          <w:p w14:paraId="7CD35DDF" w14:textId="0CA6035A" w:rsidR="005F66CC" w:rsidRPr="00F72486" w:rsidRDefault="00775447" w:rsidP="00775447">
            <w:pPr>
              <w:rPr>
                <w:rFonts w:ascii="Arial" w:hAnsi="Arial" w:cs="Arial"/>
                <w:sz w:val="24"/>
                <w:szCs w:val="24"/>
              </w:rPr>
            </w:pPr>
            <w:r w:rsidRPr="00F72486">
              <w:rPr>
                <w:rFonts w:ascii="Arial" w:hAnsi="Arial" w:cs="Arial"/>
                <w:sz w:val="24"/>
                <w:szCs w:val="24"/>
              </w:rPr>
              <w:t>In relation to the Council moving to more digital methods of communication there are a few projects underway which should deliver this. A portal should be implemented in the next quarter on the QL system which will allow tenants to book repairs on-line and view rent statements/</w:t>
            </w:r>
            <w:r w:rsidR="004043A7" w:rsidRPr="00F72486">
              <w:rPr>
                <w:rFonts w:ascii="Arial" w:hAnsi="Arial" w:cs="Arial"/>
                <w:sz w:val="24"/>
                <w:szCs w:val="24"/>
              </w:rPr>
              <w:t xml:space="preserve"> </w:t>
            </w:r>
            <w:r w:rsidRPr="00F72486">
              <w:rPr>
                <w:rFonts w:ascii="Arial" w:hAnsi="Arial" w:cs="Arial"/>
                <w:sz w:val="24"/>
                <w:szCs w:val="24"/>
              </w:rPr>
              <w:t xml:space="preserve">balances. Currently tenants have to phone the Contact Centre to book </w:t>
            </w:r>
            <w:proofErr w:type="gramStart"/>
            <w:r w:rsidRPr="00F72486">
              <w:rPr>
                <w:rFonts w:ascii="Arial" w:hAnsi="Arial" w:cs="Arial"/>
                <w:sz w:val="24"/>
                <w:szCs w:val="24"/>
              </w:rPr>
              <w:t>repairs</w:t>
            </w:r>
            <w:proofErr w:type="gramEnd"/>
            <w:r w:rsidRPr="00F72486">
              <w:rPr>
                <w:rFonts w:ascii="Arial" w:hAnsi="Arial" w:cs="Arial"/>
                <w:sz w:val="24"/>
                <w:szCs w:val="24"/>
              </w:rPr>
              <w:t xml:space="preserve"> so this has the potential to reduce call demand. However, the portal is initially being rolled out as a pilot to just </w:t>
            </w:r>
            <w:r w:rsidR="004043A7" w:rsidRPr="00F72486">
              <w:rPr>
                <w:rFonts w:ascii="Arial" w:hAnsi="Arial" w:cs="Arial"/>
                <w:sz w:val="24"/>
                <w:szCs w:val="24"/>
              </w:rPr>
              <w:t>T</w:t>
            </w:r>
            <w:r w:rsidRPr="00F72486">
              <w:rPr>
                <w:rFonts w:ascii="Arial" w:hAnsi="Arial" w:cs="Arial"/>
                <w:sz w:val="24"/>
                <w:szCs w:val="24"/>
              </w:rPr>
              <w:t xml:space="preserve">enant </w:t>
            </w:r>
            <w:r w:rsidR="004043A7" w:rsidRPr="00F72486">
              <w:rPr>
                <w:rFonts w:ascii="Arial" w:hAnsi="Arial" w:cs="Arial"/>
                <w:sz w:val="24"/>
                <w:szCs w:val="24"/>
              </w:rPr>
              <w:t>A</w:t>
            </w:r>
            <w:r w:rsidRPr="00F72486">
              <w:rPr>
                <w:rFonts w:ascii="Arial" w:hAnsi="Arial" w:cs="Arial"/>
                <w:sz w:val="24"/>
                <w:szCs w:val="24"/>
              </w:rPr>
              <w:t xml:space="preserve">mbassadors and any staff who are tenants and initially will only allow a select criteria of repairs categories to be booked, so benefits are likely to be phased over the next 12 months or so. Another enhancement is that through the </w:t>
            </w:r>
            <w:r w:rsidR="004043A7" w:rsidRPr="00F72486">
              <w:rPr>
                <w:rFonts w:ascii="Arial" w:hAnsi="Arial" w:cs="Arial"/>
                <w:sz w:val="24"/>
                <w:szCs w:val="24"/>
              </w:rPr>
              <w:t>C</w:t>
            </w:r>
            <w:r w:rsidRPr="00F72486">
              <w:rPr>
                <w:rFonts w:ascii="Arial" w:hAnsi="Arial" w:cs="Arial"/>
                <w:sz w:val="24"/>
                <w:szCs w:val="24"/>
              </w:rPr>
              <w:t>ivica portal</w:t>
            </w:r>
            <w:r w:rsidR="004043A7" w:rsidRPr="00F72486">
              <w:rPr>
                <w:rFonts w:ascii="Arial" w:hAnsi="Arial" w:cs="Arial"/>
                <w:sz w:val="24"/>
                <w:szCs w:val="24"/>
              </w:rPr>
              <w:t>,</w:t>
            </w:r>
            <w:r w:rsidRPr="00F72486">
              <w:rPr>
                <w:rFonts w:ascii="Arial" w:hAnsi="Arial" w:cs="Arial"/>
                <w:sz w:val="24"/>
                <w:szCs w:val="24"/>
              </w:rPr>
              <w:t xml:space="preserve"> where </w:t>
            </w:r>
            <w:r w:rsidR="004043A7" w:rsidRPr="00F72486">
              <w:rPr>
                <w:rFonts w:ascii="Arial" w:hAnsi="Arial" w:cs="Arial"/>
                <w:sz w:val="24"/>
                <w:szCs w:val="24"/>
              </w:rPr>
              <w:t>R</w:t>
            </w:r>
            <w:r w:rsidRPr="00F72486">
              <w:rPr>
                <w:rFonts w:ascii="Arial" w:hAnsi="Arial" w:cs="Arial"/>
                <w:sz w:val="24"/>
                <w:szCs w:val="24"/>
              </w:rPr>
              <w:t xml:space="preserve">evenues and </w:t>
            </w:r>
            <w:r w:rsidR="004043A7" w:rsidRPr="00F72486">
              <w:rPr>
                <w:rFonts w:ascii="Arial" w:hAnsi="Arial" w:cs="Arial"/>
                <w:sz w:val="24"/>
                <w:szCs w:val="24"/>
              </w:rPr>
              <w:t>B</w:t>
            </w:r>
            <w:r w:rsidRPr="00F72486">
              <w:rPr>
                <w:rFonts w:ascii="Arial" w:hAnsi="Arial" w:cs="Arial"/>
                <w:sz w:val="24"/>
                <w:szCs w:val="24"/>
              </w:rPr>
              <w:t>enefits forms are being added to allow customers to engage with us on-line</w:t>
            </w:r>
            <w:r w:rsidR="004043A7" w:rsidRPr="00F72486">
              <w:rPr>
                <w:rFonts w:ascii="Arial" w:hAnsi="Arial" w:cs="Arial"/>
                <w:sz w:val="24"/>
                <w:szCs w:val="24"/>
              </w:rPr>
              <w:t xml:space="preserve">, </w:t>
            </w:r>
            <w:r w:rsidRPr="00F72486">
              <w:rPr>
                <w:rFonts w:ascii="Arial" w:hAnsi="Arial" w:cs="Arial"/>
                <w:sz w:val="24"/>
                <w:szCs w:val="24"/>
              </w:rPr>
              <w:t xml:space="preserve">all forms should be available to use by the end of September </w:t>
            </w:r>
            <w:r w:rsidR="004043A7" w:rsidRPr="00F72486">
              <w:rPr>
                <w:rFonts w:ascii="Arial" w:hAnsi="Arial" w:cs="Arial"/>
                <w:sz w:val="24"/>
                <w:szCs w:val="24"/>
              </w:rPr>
              <w:t xml:space="preserve">2023 </w:t>
            </w:r>
            <w:r w:rsidRPr="00F72486">
              <w:rPr>
                <w:rFonts w:ascii="Arial" w:hAnsi="Arial" w:cs="Arial"/>
                <w:sz w:val="24"/>
                <w:szCs w:val="24"/>
              </w:rPr>
              <w:t>and a comm</w:t>
            </w:r>
            <w:r w:rsidR="004043A7" w:rsidRPr="00F72486">
              <w:rPr>
                <w:rFonts w:ascii="Arial" w:hAnsi="Arial" w:cs="Arial"/>
                <w:sz w:val="24"/>
                <w:szCs w:val="24"/>
              </w:rPr>
              <w:t>unications</w:t>
            </w:r>
            <w:r w:rsidRPr="00F72486">
              <w:rPr>
                <w:rFonts w:ascii="Arial" w:hAnsi="Arial" w:cs="Arial"/>
                <w:sz w:val="24"/>
                <w:szCs w:val="24"/>
              </w:rPr>
              <w:t xml:space="preserve"> campaign will be launched in October </w:t>
            </w:r>
            <w:r w:rsidR="004043A7" w:rsidRPr="00F72486">
              <w:rPr>
                <w:rFonts w:ascii="Arial" w:hAnsi="Arial" w:cs="Arial"/>
                <w:sz w:val="24"/>
                <w:szCs w:val="24"/>
              </w:rPr>
              <w:t xml:space="preserve">2023 </w:t>
            </w:r>
            <w:r w:rsidRPr="00F72486">
              <w:rPr>
                <w:rFonts w:ascii="Arial" w:hAnsi="Arial" w:cs="Arial"/>
                <w:sz w:val="24"/>
                <w:szCs w:val="24"/>
              </w:rPr>
              <w:t>to promote them. This should deliver some reduction in call demand for the Contact Centre.</w:t>
            </w:r>
          </w:p>
        </w:tc>
      </w:tr>
      <w:tr w:rsidR="005F66CC" w:rsidRPr="00F72486" w14:paraId="196852C1" w14:textId="77777777" w:rsidTr="00603C31">
        <w:tc>
          <w:tcPr>
            <w:tcW w:w="1129" w:type="dxa"/>
            <w:shd w:val="clear" w:color="auto" w:fill="F2F2F2" w:themeFill="background1" w:themeFillShade="F2"/>
          </w:tcPr>
          <w:p w14:paraId="56D20B06" w14:textId="77777777" w:rsidR="005F66CC" w:rsidRPr="00F72486" w:rsidRDefault="005F66CC" w:rsidP="005F66CC">
            <w:pPr>
              <w:rPr>
                <w:rFonts w:ascii="Arial" w:hAnsi="Arial" w:cs="Arial"/>
                <w:bCs/>
                <w:sz w:val="24"/>
                <w:szCs w:val="24"/>
              </w:rPr>
            </w:pPr>
          </w:p>
        </w:tc>
        <w:tc>
          <w:tcPr>
            <w:tcW w:w="2835" w:type="dxa"/>
            <w:shd w:val="clear" w:color="auto" w:fill="F2F2F2" w:themeFill="background1" w:themeFillShade="F2"/>
          </w:tcPr>
          <w:p w14:paraId="52FDD9D8" w14:textId="77777777" w:rsidR="005F66CC" w:rsidRPr="00F72486" w:rsidRDefault="005F66CC" w:rsidP="005F66CC">
            <w:pPr>
              <w:rPr>
                <w:rFonts w:ascii="Arial" w:eastAsia="Times New Roman" w:hAnsi="Arial" w:cs="Arial"/>
                <w:sz w:val="24"/>
                <w:szCs w:val="24"/>
                <w:lang w:eastAsia="en-GB"/>
              </w:rPr>
            </w:pPr>
          </w:p>
        </w:tc>
        <w:tc>
          <w:tcPr>
            <w:tcW w:w="1418" w:type="dxa"/>
            <w:shd w:val="clear" w:color="auto" w:fill="F2F2F2" w:themeFill="background1" w:themeFillShade="F2"/>
          </w:tcPr>
          <w:p w14:paraId="6F9B0630" w14:textId="77777777" w:rsidR="005F66CC" w:rsidRPr="00F72486" w:rsidRDefault="005F66CC" w:rsidP="005F66CC">
            <w:pPr>
              <w:rPr>
                <w:rFonts w:ascii="Arial" w:hAnsi="Arial" w:cs="Arial"/>
                <w:sz w:val="24"/>
                <w:szCs w:val="24"/>
              </w:rPr>
            </w:pPr>
          </w:p>
        </w:tc>
        <w:tc>
          <w:tcPr>
            <w:tcW w:w="4394" w:type="dxa"/>
            <w:shd w:val="clear" w:color="auto" w:fill="F2F2F2" w:themeFill="background1" w:themeFillShade="F2"/>
          </w:tcPr>
          <w:p w14:paraId="29494DA9" w14:textId="7889B8BC" w:rsidR="005F66CC" w:rsidRPr="00F72486" w:rsidRDefault="005F66CC" w:rsidP="005F66CC">
            <w:pPr>
              <w:rPr>
                <w:rFonts w:ascii="Arial" w:hAnsi="Arial" w:cs="Arial"/>
                <w:bCs/>
                <w:sz w:val="24"/>
                <w:szCs w:val="24"/>
              </w:rPr>
            </w:pPr>
            <w:r w:rsidRPr="00F72486">
              <w:rPr>
                <w:rFonts w:ascii="Arial" w:hAnsi="Arial" w:cs="Arial"/>
                <w:bCs/>
                <w:sz w:val="24"/>
                <w:szCs w:val="24"/>
              </w:rPr>
              <w:t xml:space="preserve">How long were the two posts which were vacant due to maternity leave vacant for before agreement was sought from Finance to recruit to these posts, which the commentary suggests were </w:t>
            </w:r>
            <w:proofErr w:type="gramStart"/>
            <w:r w:rsidRPr="00F72486">
              <w:rPr>
                <w:rFonts w:ascii="Arial" w:hAnsi="Arial" w:cs="Arial"/>
                <w:bCs/>
                <w:sz w:val="24"/>
                <w:szCs w:val="24"/>
              </w:rPr>
              <w:t>much-needed</w:t>
            </w:r>
            <w:proofErr w:type="gramEnd"/>
            <w:r w:rsidRPr="00F72486">
              <w:rPr>
                <w:rFonts w:ascii="Arial" w:hAnsi="Arial" w:cs="Arial"/>
                <w:bCs/>
                <w:sz w:val="24"/>
                <w:szCs w:val="24"/>
              </w:rPr>
              <w:t>?</w:t>
            </w:r>
          </w:p>
        </w:tc>
        <w:tc>
          <w:tcPr>
            <w:tcW w:w="4172" w:type="dxa"/>
            <w:shd w:val="clear" w:color="auto" w:fill="F2F2F2" w:themeFill="background1" w:themeFillShade="F2"/>
          </w:tcPr>
          <w:p w14:paraId="7C35075C" w14:textId="7E04EF2A" w:rsidR="005F66CC" w:rsidRPr="00F72486" w:rsidRDefault="00775447" w:rsidP="00775447">
            <w:pPr>
              <w:rPr>
                <w:rFonts w:ascii="Arial" w:hAnsi="Arial" w:cs="Arial"/>
                <w:sz w:val="24"/>
                <w:szCs w:val="24"/>
              </w:rPr>
            </w:pPr>
            <w:r w:rsidRPr="00F72486">
              <w:rPr>
                <w:rFonts w:ascii="Arial" w:hAnsi="Arial" w:cs="Arial"/>
                <w:sz w:val="24"/>
                <w:szCs w:val="24"/>
              </w:rPr>
              <w:t>In relation to the vacant posts</w:t>
            </w:r>
            <w:r w:rsidR="004043A7" w:rsidRPr="00F72486">
              <w:rPr>
                <w:rFonts w:ascii="Arial" w:hAnsi="Arial" w:cs="Arial"/>
                <w:sz w:val="24"/>
                <w:szCs w:val="24"/>
              </w:rPr>
              <w:t>,</w:t>
            </w:r>
            <w:r w:rsidRPr="00F72486">
              <w:rPr>
                <w:rFonts w:ascii="Arial" w:hAnsi="Arial" w:cs="Arial"/>
                <w:sz w:val="24"/>
                <w:szCs w:val="24"/>
              </w:rPr>
              <w:t xml:space="preserve"> we were delayed 6 weeks before we had an agreement from Finance to advertise against them. This did have a significant impact as typically it takes around 2 months to recruit and train officers to start taking calls in the Contact Centre and whilst we have now recruited against </w:t>
            </w:r>
            <w:proofErr w:type="gramStart"/>
            <w:r w:rsidRPr="00F72486">
              <w:rPr>
                <w:rFonts w:ascii="Arial" w:hAnsi="Arial" w:cs="Arial"/>
                <w:sz w:val="24"/>
                <w:szCs w:val="24"/>
              </w:rPr>
              <w:t>them</w:t>
            </w:r>
            <w:proofErr w:type="gramEnd"/>
            <w:r w:rsidRPr="00F72486">
              <w:rPr>
                <w:rFonts w:ascii="Arial" w:hAnsi="Arial" w:cs="Arial"/>
                <w:sz w:val="24"/>
                <w:szCs w:val="24"/>
              </w:rPr>
              <w:t xml:space="preserve"> they have only just started and have not been available to help through the summer months when </w:t>
            </w:r>
            <w:r w:rsidR="004043A7" w:rsidRPr="00F72486">
              <w:rPr>
                <w:rFonts w:ascii="Arial" w:hAnsi="Arial" w:cs="Arial"/>
                <w:sz w:val="24"/>
                <w:szCs w:val="24"/>
              </w:rPr>
              <w:t xml:space="preserve">staff </w:t>
            </w:r>
            <w:r w:rsidRPr="00F72486">
              <w:rPr>
                <w:rFonts w:ascii="Arial" w:hAnsi="Arial" w:cs="Arial"/>
                <w:sz w:val="24"/>
                <w:szCs w:val="24"/>
              </w:rPr>
              <w:t xml:space="preserve">holiday </w:t>
            </w:r>
            <w:r w:rsidR="004043A7" w:rsidRPr="00F72486">
              <w:rPr>
                <w:rFonts w:ascii="Arial" w:hAnsi="Arial" w:cs="Arial"/>
                <w:sz w:val="24"/>
                <w:szCs w:val="24"/>
              </w:rPr>
              <w:t xml:space="preserve">absence </w:t>
            </w:r>
            <w:r w:rsidRPr="00F72486">
              <w:rPr>
                <w:rFonts w:ascii="Arial" w:hAnsi="Arial" w:cs="Arial"/>
                <w:sz w:val="24"/>
                <w:szCs w:val="24"/>
              </w:rPr>
              <w:t xml:space="preserve">has been at its highest. Finance </w:t>
            </w:r>
            <w:proofErr w:type="gramStart"/>
            <w:r w:rsidRPr="00F72486">
              <w:rPr>
                <w:rFonts w:ascii="Arial" w:hAnsi="Arial" w:cs="Arial"/>
                <w:sz w:val="24"/>
                <w:szCs w:val="24"/>
              </w:rPr>
              <w:t>were</w:t>
            </w:r>
            <w:proofErr w:type="gramEnd"/>
            <w:r w:rsidRPr="00F72486">
              <w:rPr>
                <w:rFonts w:ascii="Arial" w:hAnsi="Arial" w:cs="Arial"/>
                <w:sz w:val="24"/>
                <w:szCs w:val="24"/>
              </w:rPr>
              <w:t xml:space="preserve"> concerned that we had a </w:t>
            </w:r>
            <w:r w:rsidR="004043A7" w:rsidRPr="00F72486">
              <w:rPr>
                <w:rFonts w:ascii="Arial" w:hAnsi="Arial" w:cs="Arial"/>
                <w:sz w:val="24"/>
                <w:szCs w:val="24"/>
              </w:rPr>
              <w:t>significant</w:t>
            </w:r>
            <w:r w:rsidRPr="00F72486">
              <w:rPr>
                <w:rFonts w:ascii="Arial" w:hAnsi="Arial" w:cs="Arial"/>
                <w:sz w:val="24"/>
                <w:szCs w:val="24"/>
              </w:rPr>
              <w:t xml:space="preserve"> forecast overspend so we had to make a case for why we needed the posts and how we could try to make some savings. </w:t>
            </w:r>
            <w:proofErr w:type="gramStart"/>
            <w:r w:rsidRPr="00F72486">
              <w:rPr>
                <w:rFonts w:ascii="Arial" w:hAnsi="Arial" w:cs="Arial"/>
                <w:sz w:val="24"/>
                <w:szCs w:val="24"/>
              </w:rPr>
              <w:t>The majority of</w:t>
            </w:r>
            <w:proofErr w:type="gramEnd"/>
            <w:r w:rsidRPr="00F72486">
              <w:rPr>
                <w:rFonts w:ascii="Arial" w:hAnsi="Arial" w:cs="Arial"/>
                <w:sz w:val="24"/>
                <w:szCs w:val="24"/>
              </w:rPr>
              <w:t xml:space="preserve"> the forecast overspend we could not affect as it related to savings built into the budget which were unlikely to be realised, maternity cover for which there is no budget and turnover savings which we struggled to realise as our turnover had reduced</w:t>
            </w:r>
            <w:r w:rsidR="004043A7" w:rsidRPr="00F72486">
              <w:rPr>
                <w:rFonts w:ascii="Arial" w:hAnsi="Arial" w:cs="Arial"/>
                <w:sz w:val="24"/>
                <w:szCs w:val="24"/>
              </w:rPr>
              <w:t>.</w:t>
            </w:r>
          </w:p>
        </w:tc>
      </w:tr>
      <w:tr w:rsidR="005F66CC" w:rsidRPr="00F72486" w14:paraId="39FCDB25" w14:textId="77777777" w:rsidTr="007A3EEA">
        <w:tc>
          <w:tcPr>
            <w:tcW w:w="1129" w:type="dxa"/>
          </w:tcPr>
          <w:p w14:paraId="64A01090" w14:textId="39A208BE" w:rsidR="005F66CC" w:rsidRPr="00F72486" w:rsidRDefault="005F66CC" w:rsidP="005F66CC">
            <w:pPr>
              <w:rPr>
                <w:rFonts w:ascii="Arial" w:hAnsi="Arial" w:cs="Arial"/>
                <w:bCs/>
                <w:sz w:val="24"/>
                <w:szCs w:val="24"/>
              </w:rPr>
            </w:pPr>
            <w:r w:rsidRPr="00F72486">
              <w:rPr>
                <w:rFonts w:ascii="Arial" w:hAnsi="Arial" w:cs="Arial"/>
                <w:bCs/>
                <w:sz w:val="24"/>
                <w:szCs w:val="24"/>
              </w:rPr>
              <w:t>BI001a</w:t>
            </w:r>
          </w:p>
        </w:tc>
        <w:tc>
          <w:tcPr>
            <w:tcW w:w="2835" w:type="dxa"/>
          </w:tcPr>
          <w:p w14:paraId="6BA84FC2" w14:textId="0A7BB956" w:rsidR="005F66CC" w:rsidRPr="00F72486" w:rsidRDefault="005F66CC"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The Percentage of Council spend with local business (excluding ODS and OCHL)</w:t>
            </w:r>
          </w:p>
        </w:tc>
        <w:tc>
          <w:tcPr>
            <w:tcW w:w="1418" w:type="dxa"/>
          </w:tcPr>
          <w:p w14:paraId="3308B173" w14:textId="5F09DED8" w:rsidR="005F66CC" w:rsidRPr="00F72486" w:rsidRDefault="005F66CC" w:rsidP="005F66CC">
            <w:pPr>
              <w:rPr>
                <w:rFonts w:ascii="Arial" w:hAnsi="Arial" w:cs="Arial"/>
                <w:sz w:val="24"/>
                <w:szCs w:val="24"/>
              </w:rPr>
            </w:pPr>
            <w:r w:rsidRPr="00F72486">
              <w:rPr>
                <w:rFonts w:ascii="Arial" w:hAnsi="Arial" w:cs="Arial"/>
                <w:sz w:val="24"/>
                <w:szCs w:val="24"/>
              </w:rPr>
              <w:t>Annette Osborne</w:t>
            </w:r>
          </w:p>
        </w:tc>
        <w:tc>
          <w:tcPr>
            <w:tcW w:w="4394" w:type="dxa"/>
          </w:tcPr>
          <w:p w14:paraId="6F8C58E0" w14:textId="25F589E4" w:rsidR="005F66CC" w:rsidRPr="00F72486" w:rsidRDefault="005F66CC" w:rsidP="005F66CC">
            <w:pPr>
              <w:rPr>
                <w:rFonts w:ascii="Arial" w:hAnsi="Arial" w:cs="Arial"/>
                <w:bCs/>
                <w:sz w:val="24"/>
                <w:szCs w:val="24"/>
              </w:rPr>
            </w:pPr>
            <w:r w:rsidRPr="00F72486">
              <w:rPr>
                <w:rFonts w:ascii="Arial" w:hAnsi="Arial" w:cs="Arial"/>
                <w:bCs/>
                <w:sz w:val="24"/>
                <w:szCs w:val="24"/>
              </w:rPr>
              <w:t>Why does this metric exclude spend with ODS and OCHL, given it means the money is spent locally to benefit the local economy?</w:t>
            </w:r>
          </w:p>
        </w:tc>
        <w:tc>
          <w:tcPr>
            <w:tcW w:w="4172" w:type="dxa"/>
          </w:tcPr>
          <w:p w14:paraId="763A69E1" w14:textId="53351C17" w:rsidR="005F66CC" w:rsidRPr="00F72486" w:rsidRDefault="00E71B77" w:rsidP="005F66CC">
            <w:pPr>
              <w:rPr>
                <w:rFonts w:ascii="Arial" w:hAnsi="Arial" w:cs="Arial"/>
                <w:sz w:val="24"/>
                <w:szCs w:val="24"/>
              </w:rPr>
            </w:pPr>
            <w:r w:rsidRPr="00F72486">
              <w:rPr>
                <w:rFonts w:ascii="Arial" w:hAnsi="Arial" w:cs="Arial"/>
                <w:sz w:val="24"/>
                <w:szCs w:val="24"/>
              </w:rPr>
              <w:t xml:space="preserve">ODS and OCHL figures are reported separately and therefore removed from the OCC figures to ensure this is not duplicated.  If Scrutiny wish the Council to report on its total spend with local businesses to </w:t>
            </w:r>
            <w:r w:rsidRPr="00F72486">
              <w:rPr>
                <w:rFonts w:ascii="Arial" w:hAnsi="Arial" w:cs="Arial"/>
                <w:sz w:val="24"/>
                <w:szCs w:val="24"/>
              </w:rPr>
              <w:lastRenderedPageBreak/>
              <w:t xml:space="preserve">include all entities this can be arranged.  Whilst OCC give money to ODS it does not mean that </w:t>
            </w:r>
            <w:proofErr w:type="gramStart"/>
            <w:r w:rsidRPr="00F72486">
              <w:rPr>
                <w:rFonts w:ascii="Arial" w:hAnsi="Arial" w:cs="Arial"/>
                <w:sz w:val="24"/>
                <w:szCs w:val="24"/>
              </w:rPr>
              <w:t>all of</w:t>
            </w:r>
            <w:proofErr w:type="gramEnd"/>
            <w:r w:rsidRPr="00F72486">
              <w:rPr>
                <w:rFonts w:ascii="Arial" w:hAnsi="Arial" w:cs="Arial"/>
                <w:sz w:val="24"/>
                <w:szCs w:val="24"/>
              </w:rPr>
              <w:t xml:space="preserve"> that money is spent locally.</w:t>
            </w:r>
          </w:p>
        </w:tc>
      </w:tr>
      <w:tr w:rsidR="005F66CC" w:rsidRPr="00F72486" w14:paraId="429FB629" w14:textId="77777777" w:rsidTr="007A3EEA">
        <w:tc>
          <w:tcPr>
            <w:tcW w:w="1129" w:type="dxa"/>
          </w:tcPr>
          <w:p w14:paraId="15F9FA42" w14:textId="77777777" w:rsidR="005F66CC" w:rsidRPr="00F72486" w:rsidRDefault="005F66CC" w:rsidP="005F66CC">
            <w:pPr>
              <w:rPr>
                <w:rFonts w:ascii="Arial" w:hAnsi="Arial" w:cs="Arial"/>
                <w:bCs/>
                <w:sz w:val="24"/>
                <w:szCs w:val="24"/>
              </w:rPr>
            </w:pPr>
          </w:p>
        </w:tc>
        <w:tc>
          <w:tcPr>
            <w:tcW w:w="2835" w:type="dxa"/>
          </w:tcPr>
          <w:p w14:paraId="320280C2" w14:textId="77777777" w:rsidR="005F66CC" w:rsidRPr="00F72486" w:rsidRDefault="005F66CC" w:rsidP="005F66CC">
            <w:pPr>
              <w:rPr>
                <w:rFonts w:ascii="Arial" w:eastAsia="Times New Roman" w:hAnsi="Arial" w:cs="Arial"/>
                <w:sz w:val="24"/>
                <w:szCs w:val="24"/>
                <w:lang w:eastAsia="en-GB"/>
              </w:rPr>
            </w:pPr>
          </w:p>
        </w:tc>
        <w:tc>
          <w:tcPr>
            <w:tcW w:w="1418" w:type="dxa"/>
          </w:tcPr>
          <w:p w14:paraId="25125098" w14:textId="77777777" w:rsidR="005F66CC" w:rsidRPr="00F72486" w:rsidRDefault="005F66CC" w:rsidP="005F66CC">
            <w:pPr>
              <w:rPr>
                <w:rFonts w:ascii="Arial" w:hAnsi="Arial" w:cs="Arial"/>
                <w:sz w:val="24"/>
                <w:szCs w:val="24"/>
              </w:rPr>
            </w:pPr>
          </w:p>
        </w:tc>
        <w:tc>
          <w:tcPr>
            <w:tcW w:w="4394" w:type="dxa"/>
          </w:tcPr>
          <w:p w14:paraId="4AAAA0F3" w14:textId="44B04283" w:rsidR="005F66CC" w:rsidRPr="00F72486" w:rsidRDefault="00B838B7" w:rsidP="005F66CC">
            <w:pPr>
              <w:rPr>
                <w:rFonts w:ascii="Arial" w:hAnsi="Arial" w:cs="Arial"/>
                <w:bCs/>
                <w:sz w:val="24"/>
                <w:szCs w:val="24"/>
              </w:rPr>
            </w:pPr>
            <w:r w:rsidRPr="00F72486">
              <w:rPr>
                <w:rFonts w:ascii="Arial" w:hAnsi="Arial" w:cs="Arial"/>
                <w:bCs/>
                <w:sz w:val="24"/>
                <w:szCs w:val="24"/>
              </w:rPr>
              <w:t>The result for Q1 2023/24 (32.61%) has decreased from the end of year 2022/23 result (39.5%) – why is this?</w:t>
            </w:r>
          </w:p>
        </w:tc>
        <w:tc>
          <w:tcPr>
            <w:tcW w:w="4172" w:type="dxa"/>
          </w:tcPr>
          <w:p w14:paraId="55653E5F" w14:textId="77777777" w:rsidR="005F66CC" w:rsidRPr="00F72486" w:rsidRDefault="00DE5A56" w:rsidP="005F66CC">
            <w:pPr>
              <w:rPr>
                <w:rFonts w:ascii="Arial" w:hAnsi="Arial" w:cs="Arial"/>
                <w:sz w:val="24"/>
                <w:szCs w:val="24"/>
              </w:rPr>
            </w:pPr>
            <w:bookmarkStart w:id="0" w:name="_Hlk145413277"/>
            <w:r w:rsidRPr="00F72486">
              <w:rPr>
                <w:rFonts w:ascii="Arial" w:hAnsi="Arial" w:cs="Arial"/>
                <w:sz w:val="24"/>
                <w:szCs w:val="24"/>
              </w:rPr>
              <w:t xml:space="preserve">This is an annual </w:t>
            </w:r>
            <w:proofErr w:type="gramStart"/>
            <w:r w:rsidRPr="00F72486">
              <w:rPr>
                <w:rFonts w:ascii="Arial" w:hAnsi="Arial" w:cs="Arial"/>
                <w:sz w:val="24"/>
                <w:szCs w:val="24"/>
              </w:rPr>
              <w:t>target</w:t>
            </w:r>
            <w:proofErr w:type="gramEnd"/>
            <w:r w:rsidRPr="00F72486">
              <w:rPr>
                <w:rFonts w:ascii="Arial" w:hAnsi="Arial" w:cs="Arial"/>
                <w:sz w:val="24"/>
                <w:szCs w:val="24"/>
              </w:rPr>
              <w:t xml:space="preserve"> and the figures change monthly, which alters the average over the year. The average for Q1 2022/23 was 33.45%; with the average for Q1 2023/24 being 32.61%.</w:t>
            </w:r>
          </w:p>
          <w:p w14:paraId="0EED59EE" w14:textId="604DF163" w:rsidR="00DE5A56" w:rsidRPr="00F72486" w:rsidRDefault="00DE5A56" w:rsidP="005F66CC">
            <w:pPr>
              <w:rPr>
                <w:rFonts w:ascii="Arial" w:hAnsi="Arial" w:cs="Arial"/>
                <w:sz w:val="24"/>
                <w:szCs w:val="24"/>
              </w:rPr>
            </w:pPr>
            <w:r w:rsidRPr="00F72486">
              <w:rPr>
                <w:rFonts w:ascii="Arial" w:hAnsi="Arial" w:cs="Arial"/>
                <w:sz w:val="24"/>
                <w:szCs w:val="24"/>
              </w:rPr>
              <w:t>In July 2023 the figure rose t</w:t>
            </w:r>
            <w:r w:rsidR="00843C21" w:rsidRPr="00F72486">
              <w:rPr>
                <w:rFonts w:ascii="Arial" w:hAnsi="Arial" w:cs="Arial"/>
                <w:sz w:val="24"/>
                <w:szCs w:val="24"/>
              </w:rPr>
              <w:t>o</w:t>
            </w:r>
            <w:r w:rsidRPr="00F72486">
              <w:rPr>
                <w:rFonts w:ascii="Arial" w:hAnsi="Arial" w:cs="Arial"/>
                <w:sz w:val="24"/>
                <w:szCs w:val="24"/>
              </w:rPr>
              <w:t xml:space="preserve"> 45.08%, bringing the average up to 35.73%.</w:t>
            </w:r>
            <w:bookmarkEnd w:id="0"/>
          </w:p>
        </w:tc>
      </w:tr>
      <w:tr w:rsidR="00B838B7" w:rsidRPr="00F72486" w14:paraId="4C7F3740" w14:textId="77777777" w:rsidTr="00603C31">
        <w:tc>
          <w:tcPr>
            <w:tcW w:w="1129" w:type="dxa"/>
            <w:shd w:val="clear" w:color="auto" w:fill="F2F2F2" w:themeFill="background1" w:themeFillShade="F2"/>
          </w:tcPr>
          <w:p w14:paraId="2643B999" w14:textId="73A91B6A" w:rsidR="00B838B7" w:rsidRPr="00F72486" w:rsidRDefault="00B838B7" w:rsidP="005F66CC">
            <w:pPr>
              <w:rPr>
                <w:rFonts w:ascii="Arial" w:hAnsi="Arial" w:cs="Arial"/>
                <w:bCs/>
                <w:sz w:val="24"/>
                <w:szCs w:val="24"/>
              </w:rPr>
            </w:pPr>
            <w:r w:rsidRPr="00F72486">
              <w:rPr>
                <w:rFonts w:ascii="Arial" w:hAnsi="Arial" w:cs="Arial"/>
                <w:bCs/>
                <w:sz w:val="24"/>
                <w:szCs w:val="24"/>
              </w:rPr>
              <w:t>BI001b</w:t>
            </w:r>
          </w:p>
        </w:tc>
        <w:tc>
          <w:tcPr>
            <w:tcW w:w="2835" w:type="dxa"/>
            <w:shd w:val="clear" w:color="auto" w:fill="F2F2F2" w:themeFill="background1" w:themeFillShade="F2"/>
          </w:tcPr>
          <w:p w14:paraId="0F33E3B3" w14:textId="166E2737" w:rsidR="00B838B7" w:rsidRPr="00F72486" w:rsidRDefault="00B838B7"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The Percentage of ODS spend with local business</w:t>
            </w:r>
          </w:p>
        </w:tc>
        <w:tc>
          <w:tcPr>
            <w:tcW w:w="1418" w:type="dxa"/>
            <w:shd w:val="clear" w:color="auto" w:fill="F2F2F2" w:themeFill="background1" w:themeFillShade="F2"/>
          </w:tcPr>
          <w:p w14:paraId="54B2F795" w14:textId="320D95C7" w:rsidR="00B838B7" w:rsidRPr="00F72486" w:rsidRDefault="00B838B7" w:rsidP="005F66CC">
            <w:pPr>
              <w:rPr>
                <w:rFonts w:ascii="Arial" w:hAnsi="Arial" w:cs="Arial"/>
                <w:sz w:val="24"/>
                <w:szCs w:val="24"/>
              </w:rPr>
            </w:pPr>
            <w:r w:rsidRPr="00F72486">
              <w:rPr>
                <w:rFonts w:ascii="Arial" w:hAnsi="Arial" w:cs="Arial"/>
                <w:sz w:val="24"/>
                <w:szCs w:val="24"/>
              </w:rPr>
              <w:t>Nicky Atkin</w:t>
            </w:r>
          </w:p>
        </w:tc>
        <w:tc>
          <w:tcPr>
            <w:tcW w:w="4394" w:type="dxa"/>
            <w:shd w:val="clear" w:color="auto" w:fill="F2F2F2" w:themeFill="background1" w:themeFillShade="F2"/>
          </w:tcPr>
          <w:p w14:paraId="70D0F9C0" w14:textId="2AB38A22" w:rsidR="00B838B7" w:rsidRPr="00F72486" w:rsidRDefault="002947AA" w:rsidP="002947AA">
            <w:pPr>
              <w:spacing w:after="160" w:line="259" w:lineRule="auto"/>
              <w:rPr>
                <w:rFonts w:ascii="Arial" w:hAnsi="Arial" w:cs="Arial"/>
                <w:sz w:val="24"/>
                <w:szCs w:val="24"/>
              </w:rPr>
            </w:pPr>
            <w:r w:rsidRPr="00F72486">
              <w:rPr>
                <w:rFonts w:ascii="Arial" w:hAnsi="Arial" w:cs="Arial"/>
                <w:sz w:val="24"/>
                <w:szCs w:val="24"/>
              </w:rPr>
              <w:t>Why has the target been reduced to 55% for 2023/24 given performance last year (65.12%)?</w:t>
            </w:r>
          </w:p>
        </w:tc>
        <w:tc>
          <w:tcPr>
            <w:tcW w:w="4172" w:type="dxa"/>
            <w:shd w:val="clear" w:color="auto" w:fill="F2F2F2" w:themeFill="background1" w:themeFillShade="F2"/>
          </w:tcPr>
          <w:p w14:paraId="1C0A26CD" w14:textId="5B119C88" w:rsidR="00B838B7" w:rsidRPr="00F72486" w:rsidRDefault="00903A00" w:rsidP="00202842">
            <w:pPr>
              <w:spacing w:after="160" w:line="259" w:lineRule="auto"/>
              <w:rPr>
                <w:rFonts w:ascii="Arial" w:hAnsi="Arial" w:cs="Arial"/>
                <w:sz w:val="24"/>
                <w:szCs w:val="24"/>
              </w:rPr>
            </w:pPr>
            <w:r w:rsidRPr="00F72486">
              <w:rPr>
                <w:rFonts w:ascii="Arial" w:hAnsi="Arial" w:cs="Arial"/>
                <w:sz w:val="24"/>
                <w:szCs w:val="24"/>
              </w:rPr>
              <w:t>After reviewing its data, ODS agreed the lower target of 55% for this measure as it is more in line with historic performance – therefore a more realistic target.</w:t>
            </w:r>
          </w:p>
        </w:tc>
      </w:tr>
      <w:tr w:rsidR="002947AA" w:rsidRPr="00F72486" w14:paraId="4A7DDAE1" w14:textId="77777777" w:rsidTr="00603C31">
        <w:tc>
          <w:tcPr>
            <w:tcW w:w="1129" w:type="dxa"/>
            <w:shd w:val="clear" w:color="auto" w:fill="F2F2F2" w:themeFill="background1" w:themeFillShade="F2"/>
          </w:tcPr>
          <w:p w14:paraId="740AFF81" w14:textId="77777777" w:rsidR="002947AA" w:rsidRPr="00F72486" w:rsidRDefault="002947AA" w:rsidP="005F66CC">
            <w:pPr>
              <w:rPr>
                <w:rFonts w:ascii="Arial" w:hAnsi="Arial" w:cs="Arial"/>
                <w:bCs/>
                <w:sz w:val="24"/>
                <w:szCs w:val="24"/>
              </w:rPr>
            </w:pPr>
          </w:p>
        </w:tc>
        <w:tc>
          <w:tcPr>
            <w:tcW w:w="2835" w:type="dxa"/>
            <w:shd w:val="clear" w:color="auto" w:fill="F2F2F2" w:themeFill="background1" w:themeFillShade="F2"/>
          </w:tcPr>
          <w:p w14:paraId="64F8F092" w14:textId="77777777" w:rsidR="002947AA" w:rsidRPr="00F72486" w:rsidRDefault="002947AA" w:rsidP="005F66CC">
            <w:pPr>
              <w:rPr>
                <w:rFonts w:ascii="Arial" w:eastAsia="Times New Roman" w:hAnsi="Arial" w:cs="Arial"/>
                <w:sz w:val="24"/>
                <w:szCs w:val="24"/>
                <w:lang w:eastAsia="en-GB"/>
              </w:rPr>
            </w:pPr>
          </w:p>
        </w:tc>
        <w:tc>
          <w:tcPr>
            <w:tcW w:w="1418" w:type="dxa"/>
            <w:shd w:val="clear" w:color="auto" w:fill="F2F2F2" w:themeFill="background1" w:themeFillShade="F2"/>
          </w:tcPr>
          <w:p w14:paraId="3D3202DB" w14:textId="77777777" w:rsidR="002947AA" w:rsidRPr="00F72486" w:rsidRDefault="002947AA" w:rsidP="005F66CC">
            <w:pPr>
              <w:rPr>
                <w:rFonts w:ascii="Arial" w:hAnsi="Arial" w:cs="Arial"/>
                <w:sz w:val="24"/>
                <w:szCs w:val="24"/>
              </w:rPr>
            </w:pPr>
          </w:p>
        </w:tc>
        <w:tc>
          <w:tcPr>
            <w:tcW w:w="4394" w:type="dxa"/>
            <w:shd w:val="clear" w:color="auto" w:fill="F2F2F2" w:themeFill="background1" w:themeFillShade="F2"/>
          </w:tcPr>
          <w:p w14:paraId="42A46207" w14:textId="776653E0" w:rsidR="002947AA" w:rsidRPr="00F72486" w:rsidRDefault="002947AA" w:rsidP="002947AA">
            <w:pPr>
              <w:spacing w:after="160" w:line="259" w:lineRule="auto"/>
              <w:rPr>
                <w:rFonts w:ascii="Arial" w:hAnsi="Arial" w:cs="Arial"/>
                <w:sz w:val="24"/>
                <w:szCs w:val="24"/>
              </w:rPr>
            </w:pPr>
            <w:r w:rsidRPr="00F72486">
              <w:rPr>
                <w:rFonts w:ascii="Arial" w:hAnsi="Arial" w:cs="Arial"/>
                <w:sz w:val="24"/>
                <w:szCs w:val="24"/>
              </w:rPr>
              <w:t xml:space="preserve">Can a commentary be provided on why there has been a </w:t>
            </w:r>
            <w:proofErr w:type="gramStart"/>
            <w:r w:rsidRPr="00F72486">
              <w:rPr>
                <w:rFonts w:ascii="Arial" w:hAnsi="Arial" w:cs="Arial"/>
                <w:sz w:val="24"/>
                <w:szCs w:val="24"/>
              </w:rPr>
              <w:t>fairly significant</w:t>
            </w:r>
            <w:proofErr w:type="gramEnd"/>
            <w:r w:rsidRPr="00F72486">
              <w:rPr>
                <w:rFonts w:ascii="Arial" w:hAnsi="Arial" w:cs="Arial"/>
                <w:sz w:val="24"/>
                <w:szCs w:val="24"/>
              </w:rPr>
              <w:t xml:space="preserve"> reduction in performance from the end of 2022/23 to Q1 2023/24?</w:t>
            </w:r>
          </w:p>
        </w:tc>
        <w:tc>
          <w:tcPr>
            <w:tcW w:w="4172" w:type="dxa"/>
            <w:shd w:val="clear" w:color="auto" w:fill="F2F2F2" w:themeFill="background1" w:themeFillShade="F2"/>
          </w:tcPr>
          <w:p w14:paraId="3751718C" w14:textId="0A26EEF2" w:rsidR="002947AA" w:rsidRPr="00F72486" w:rsidRDefault="00903A00" w:rsidP="00903A00">
            <w:pPr>
              <w:spacing w:after="160" w:line="259" w:lineRule="auto"/>
              <w:rPr>
                <w:rFonts w:ascii="Arial" w:hAnsi="Arial" w:cs="Arial"/>
                <w:sz w:val="24"/>
                <w:szCs w:val="24"/>
              </w:rPr>
            </w:pPr>
            <w:r w:rsidRPr="00F72486">
              <w:rPr>
                <w:rFonts w:ascii="Arial" w:hAnsi="Arial" w:cs="Arial"/>
                <w:sz w:val="24"/>
                <w:szCs w:val="24"/>
              </w:rPr>
              <w:t>This reduction is because ODS’ temporary agency staff provider was bought out by a company which is based in the Midlands.</w:t>
            </w:r>
          </w:p>
        </w:tc>
      </w:tr>
      <w:tr w:rsidR="00B838B7" w:rsidRPr="00F72486" w14:paraId="56AA9082" w14:textId="77777777" w:rsidTr="007A3EEA">
        <w:tc>
          <w:tcPr>
            <w:tcW w:w="1129" w:type="dxa"/>
          </w:tcPr>
          <w:p w14:paraId="4389585D" w14:textId="207EE349" w:rsidR="00B838B7" w:rsidRPr="00F72486" w:rsidRDefault="00B838B7" w:rsidP="005F66CC">
            <w:pPr>
              <w:rPr>
                <w:rFonts w:ascii="Arial" w:hAnsi="Arial" w:cs="Arial"/>
                <w:bCs/>
                <w:sz w:val="24"/>
                <w:szCs w:val="24"/>
              </w:rPr>
            </w:pPr>
            <w:r w:rsidRPr="00F72486">
              <w:rPr>
                <w:rFonts w:ascii="Arial" w:hAnsi="Arial" w:cs="Arial"/>
                <w:bCs/>
                <w:sz w:val="24"/>
                <w:szCs w:val="24"/>
              </w:rPr>
              <w:t>BI001c</w:t>
            </w:r>
          </w:p>
        </w:tc>
        <w:tc>
          <w:tcPr>
            <w:tcW w:w="2835" w:type="dxa"/>
          </w:tcPr>
          <w:p w14:paraId="070FBAA9" w14:textId="0186C5B9" w:rsidR="00B838B7" w:rsidRPr="00F72486" w:rsidRDefault="00B838B7"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The Percentage of OCHL spend with local business</w:t>
            </w:r>
          </w:p>
        </w:tc>
        <w:tc>
          <w:tcPr>
            <w:tcW w:w="1418" w:type="dxa"/>
          </w:tcPr>
          <w:p w14:paraId="017894D4" w14:textId="18B6F95C" w:rsidR="00B838B7" w:rsidRPr="00F72486" w:rsidRDefault="00B838B7" w:rsidP="005F66CC">
            <w:pPr>
              <w:rPr>
                <w:rFonts w:ascii="Arial" w:hAnsi="Arial" w:cs="Arial"/>
                <w:sz w:val="24"/>
                <w:szCs w:val="24"/>
              </w:rPr>
            </w:pPr>
            <w:r w:rsidRPr="00F72486">
              <w:rPr>
                <w:rFonts w:ascii="Arial" w:hAnsi="Arial" w:cs="Arial"/>
                <w:sz w:val="24"/>
                <w:szCs w:val="24"/>
              </w:rPr>
              <w:t>Annette Osborne</w:t>
            </w:r>
          </w:p>
        </w:tc>
        <w:tc>
          <w:tcPr>
            <w:tcW w:w="4394" w:type="dxa"/>
          </w:tcPr>
          <w:p w14:paraId="09F23BAC" w14:textId="1A6D7694" w:rsidR="00B838B7" w:rsidRPr="00F72486" w:rsidRDefault="00B838B7" w:rsidP="005F66CC">
            <w:pPr>
              <w:rPr>
                <w:rFonts w:ascii="Arial" w:hAnsi="Arial" w:cs="Arial"/>
                <w:bCs/>
                <w:sz w:val="24"/>
                <w:szCs w:val="24"/>
              </w:rPr>
            </w:pPr>
            <w:r w:rsidRPr="00F72486">
              <w:rPr>
                <w:rFonts w:ascii="Arial" w:hAnsi="Arial" w:cs="Arial"/>
                <w:bCs/>
                <w:sz w:val="24"/>
                <w:szCs w:val="24"/>
              </w:rPr>
              <w:t xml:space="preserve">Can the commentary be clarified/explained? </w:t>
            </w:r>
            <w:r w:rsidRPr="00F72486">
              <w:rPr>
                <w:rFonts w:ascii="Arial" w:hAnsi="Arial" w:cs="Arial"/>
                <w:sz w:val="24"/>
                <w:szCs w:val="24"/>
              </w:rPr>
              <w:t>The result for end of year 2022/23 and Q1 2023/24 is 75.41% - exceeding the stated target; but the commentary states that the year-end average is 12%, which seems to be at odds with the results reported.</w:t>
            </w:r>
          </w:p>
        </w:tc>
        <w:tc>
          <w:tcPr>
            <w:tcW w:w="4172" w:type="dxa"/>
          </w:tcPr>
          <w:p w14:paraId="6B6A9A07" w14:textId="77777777" w:rsidR="00E71B77" w:rsidRPr="00F72486" w:rsidRDefault="00E71B77" w:rsidP="00E71B77">
            <w:pPr>
              <w:rPr>
                <w:rFonts w:ascii="Arial" w:hAnsi="Arial" w:cs="Arial"/>
                <w:sz w:val="24"/>
                <w:szCs w:val="24"/>
              </w:rPr>
            </w:pPr>
            <w:r w:rsidRPr="00F72486">
              <w:rPr>
                <w:rFonts w:ascii="Arial" w:hAnsi="Arial" w:cs="Arial"/>
                <w:sz w:val="24"/>
                <w:szCs w:val="24"/>
              </w:rPr>
              <w:t>Apologies, it looks as though the figure input was for ODS not OCHL.</w:t>
            </w:r>
          </w:p>
          <w:p w14:paraId="73A3E21F" w14:textId="6FB3AAE6" w:rsidR="00E71B77" w:rsidRPr="00F72486" w:rsidRDefault="00E71B77" w:rsidP="00E71B77">
            <w:pPr>
              <w:rPr>
                <w:rFonts w:ascii="Arial" w:hAnsi="Arial" w:cs="Arial"/>
                <w:sz w:val="24"/>
                <w:szCs w:val="24"/>
              </w:rPr>
            </w:pPr>
            <w:r w:rsidRPr="00F72486">
              <w:rPr>
                <w:rFonts w:ascii="Arial" w:hAnsi="Arial" w:cs="Arial"/>
                <w:sz w:val="24"/>
                <w:szCs w:val="24"/>
              </w:rPr>
              <w:t>The end of 2022/23 year figure for OCHL for local spend was 12% and it is tracking at 5.18% for 2023/24.</w:t>
            </w:r>
          </w:p>
          <w:p w14:paraId="2CE7E0DF" w14:textId="4B794C71" w:rsidR="00B838B7" w:rsidRPr="00F72486" w:rsidRDefault="00E71B77" w:rsidP="00E71B77">
            <w:pPr>
              <w:rPr>
                <w:rFonts w:ascii="Arial" w:hAnsi="Arial" w:cs="Arial"/>
                <w:sz w:val="24"/>
                <w:szCs w:val="24"/>
              </w:rPr>
            </w:pPr>
            <w:r w:rsidRPr="00F72486">
              <w:rPr>
                <w:rFonts w:ascii="Arial" w:hAnsi="Arial" w:cs="Arial"/>
                <w:sz w:val="24"/>
                <w:szCs w:val="24"/>
              </w:rPr>
              <w:t>This is a yearly target as the OCHL figure significantly varies due to the size of Construction projects.</w:t>
            </w:r>
          </w:p>
        </w:tc>
      </w:tr>
      <w:tr w:rsidR="00B838B7" w:rsidRPr="00F72486" w14:paraId="60863CF9" w14:textId="77777777" w:rsidTr="00603C31">
        <w:tc>
          <w:tcPr>
            <w:tcW w:w="1129" w:type="dxa"/>
            <w:shd w:val="clear" w:color="auto" w:fill="F2F2F2" w:themeFill="background1" w:themeFillShade="F2"/>
          </w:tcPr>
          <w:p w14:paraId="61D13164" w14:textId="29360C91" w:rsidR="00B838B7" w:rsidRPr="00F72486" w:rsidRDefault="00B838B7" w:rsidP="005F66CC">
            <w:pPr>
              <w:rPr>
                <w:rFonts w:ascii="Arial" w:hAnsi="Arial" w:cs="Arial"/>
                <w:bCs/>
                <w:sz w:val="24"/>
                <w:szCs w:val="24"/>
              </w:rPr>
            </w:pPr>
            <w:r w:rsidRPr="00F72486">
              <w:rPr>
                <w:rFonts w:ascii="Arial" w:hAnsi="Arial" w:cs="Arial"/>
                <w:bCs/>
                <w:sz w:val="24"/>
                <w:szCs w:val="24"/>
              </w:rPr>
              <w:lastRenderedPageBreak/>
              <w:t>CS002</w:t>
            </w:r>
          </w:p>
        </w:tc>
        <w:tc>
          <w:tcPr>
            <w:tcW w:w="2835" w:type="dxa"/>
            <w:shd w:val="clear" w:color="auto" w:fill="F2F2F2" w:themeFill="background1" w:themeFillShade="F2"/>
          </w:tcPr>
          <w:p w14:paraId="3160C03E" w14:textId="410CC27D" w:rsidR="00B838B7" w:rsidRPr="00F72486" w:rsidRDefault="00B838B7"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Time to process changes in circumstances</w:t>
            </w:r>
          </w:p>
        </w:tc>
        <w:tc>
          <w:tcPr>
            <w:tcW w:w="1418" w:type="dxa"/>
            <w:shd w:val="clear" w:color="auto" w:fill="F2F2F2" w:themeFill="background1" w:themeFillShade="F2"/>
          </w:tcPr>
          <w:p w14:paraId="67BBC81D" w14:textId="118E846E" w:rsidR="00B838B7" w:rsidRPr="00F72486" w:rsidRDefault="00B838B7" w:rsidP="005F66CC">
            <w:pPr>
              <w:rPr>
                <w:rFonts w:ascii="Arial" w:hAnsi="Arial" w:cs="Arial"/>
                <w:sz w:val="24"/>
                <w:szCs w:val="24"/>
              </w:rPr>
            </w:pPr>
            <w:r w:rsidRPr="00F72486">
              <w:rPr>
                <w:rFonts w:ascii="Arial" w:hAnsi="Arial" w:cs="Arial"/>
                <w:sz w:val="24"/>
                <w:szCs w:val="24"/>
              </w:rPr>
              <w:t xml:space="preserve">Laura </w:t>
            </w:r>
            <w:proofErr w:type="spellStart"/>
            <w:r w:rsidRPr="00F72486">
              <w:rPr>
                <w:rFonts w:ascii="Arial" w:hAnsi="Arial" w:cs="Arial"/>
                <w:sz w:val="24"/>
                <w:szCs w:val="24"/>
              </w:rPr>
              <w:t>Bessell</w:t>
            </w:r>
            <w:proofErr w:type="spellEnd"/>
          </w:p>
        </w:tc>
        <w:tc>
          <w:tcPr>
            <w:tcW w:w="4394" w:type="dxa"/>
            <w:shd w:val="clear" w:color="auto" w:fill="F2F2F2" w:themeFill="background1" w:themeFillShade="F2"/>
          </w:tcPr>
          <w:p w14:paraId="29F8E637" w14:textId="5130ECCA" w:rsidR="00B838B7" w:rsidRPr="00F72486" w:rsidRDefault="00775447" w:rsidP="005F66CC">
            <w:pPr>
              <w:rPr>
                <w:rFonts w:ascii="Arial" w:hAnsi="Arial" w:cs="Arial"/>
                <w:bCs/>
                <w:sz w:val="24"/>
                <w:szCs w:val="24"/>
              </w:rPr>
            </w:pPr>
            <w:r w:rsidRPr="00F72486">
              <w:rPr>
                <w:rFonts w:ascii="Arial" w:hAnsi="Arial" w:cs="Arial"/>
                <w:sz w:val="24"/>
                <w:szCs w:val="24"/>
              </w:rPr>
              <w:t>Which migration are the delays due to?</w:t>
            </w:r>
          </w:p>
        </w:tc>
        <w:tc>
          <w:tcPr>
            <w:tcW w:w="4172" w:type="dxa"/>
            <w:shd w:val="clear" w:color="auto" w:fill="F2F2F2" w:themeFill="background1" w:themeFillShade="F2"/>
          </w:tcPr>
          <w:p w14:paraId="59EF311D" w14:textId="365829C1" w:rsidR="00775447" w:rsidRPr="00F72486" w:rsidRDefault="00775447" w:rsidP="00775447">
            <w:pPr>
              <w:rPr>
                <w:rFonts w:ascii="Arial" w:hAnsi="Arial" w:cs="Arial"/>
                <w:sz w:val="24"/>
                <w:szCs w:val="24"/>
              </w:rPr>
            </w:pPr>
            <w:r w:rsidRPr="00F72486">
              <w:rPr>
                <w:rFonts w:ascii="Arial" w:hAnsi="Arial" w:cs="Arial"/>
                <w:sz w:val="24"/>
                <w:szCs w:val="24"/>
              </w:rPr>
              <w:t>The Revenues and Benefit Service moved computer systems from Capita to Civica and this had an impact of the level of work that the team had to resolve since migration.</w:t>
            </w:r>
          </w:p>
          <w:p w14:paraId="4CA4921D" w14:textId="3EE13EB9" w:rsidR="00B838B7" w:rsidRPr="00F72486" w:rsidRDefault="00775447" w:rsidP="00775447">
            <w:pPr>
              <w:spacing w:after="160" w:line="259" w:lineRule="auto"/>
              <w:rPr>
                <w:rFonts w:ascii="Arial" w:hAnsi="Arial" w:cs="Arial"/>
                <w:sz w:val="24"/>
                <w:szCs w:val="24"/>
              </w:rPr>
            </w:pPr>
            <w:r w:rsidRPr="00F72486">
              <w:rPr>
                <w:rFonts w:ascii="Arial" w:hAnsi="Arial" w:cs="Arial"/>
                <w:sz w:val="24"/>
                <w:szCs w:val="24"/>
              </w:rPr>
              <w:t>The team is currently at a year-to-date speed of processing of 21 days.</w:t>
            </w:r>
          </w:p>
        </w:tc>
      </w:tr>
      <w:tr w:rsidR="00775447" w:rsidRPr="00F72486" w14:paraId="0BC4109D" w14:textId="77777777" w:rsidTr="00603C31">
        <w:tc>
          <w:tcPr>
            <w:tcW w:w="1129" w:type="dxa"/>
            <w:shd w:val="clear" w:color="auto" w:fill="F2F2F2" w:themeFill="background1" w:themeFillShade="F2"/>
          </w:tcPr>
          <w:p w14:paraId="785CF5A8" w14:textId="77777777" w:rsidR="00775447" w:rsidRPr="00F72486" w:rsidRDefault="00775447" w:rsidP="005F66CC">
            <w:pPr>
              <w:rPr>
                <w:rFonts w:ascii="Arial" w:hAnsi="Arial" w:cs="Arial"/>
                <w:bCs/>
                <w:sz w:val="24"/>
                <w:szCs w:val="24"/>
              </w:rPr>
            </w:pPr>
          </w:p>
        </w:tc>
        <w:tc>
          <w:tcPr>
            <w:tcW w:w="2835" w:type="dxa"/>
            <w:shd w:val="clear" w:color="auto" w:fill="F2F2F2" w:themeFill="background1" w:themeFillShade="F2"/>
          </w:tcPr>
          <w:p w14:paraId="21492206" w14:textId="77777777" w:rsidR="00775447" w:rsidRPr="00F72486" w:rsidRDefault="00775447" w:rsidP="005F66CC">
            <w:pPr>
              <w:rPr>
                <w:rFonts w:ascii="Arial" w:eastAsia="Times New Roman" w:hAnsi="Arial" w:cs="Arial"/>
                <w:sz w:val="24"/>
                <w:szCs w:val="24"/>
                <w:lang w:eastAsia="en-GB"/>
              </w:rPr>
            </w:pPr>
          </w:p>
        </w:tc>
        <w:tc>
          <w:tcPr>
            <w:tcW w:w="1418" w:type="dxa"/>
            <w:shd w:val="clear" w:color="auto" w:fill="F2F2F2" w:themeFill="background1" w:themeFillShade="F2"/>
          </w:tcPr>
          <w:p w14:paraId="0DAAFA8D" w14:textId="77777777" w:rsidR="00775447" w:rsidRPr="00F72486" w:rsidRDefault="00775447" w:rsidP="005F66CC">
            <w:pPr>
              <w:rPr>
                <w:rFonts w:ascii="Arial" w:hAnsi="Arial" w:cs="Arial"/>
                <w:sz w:val="24"/>
                <w:szCs w:val="24"/>
              </w:rPr>
            </w:pPr>
          </w:p>
        </w:tc>
        <w:tc>
          <w:tcPr>
            <w:tcW w:w="4394" w:type="dxa"/>
            <w:shd w:val="clear" w:color="auto" w:fill="F2F2F2" w:themeFill="background1" w:themeFillShade="F2"/>
          </w:tcPr>
          <w:p w14:paraId="735AB9CD" w14:textId="09C9B428" w:rsidR="00775447" w:rsidRPr="00F72486" w:rsidRDefault="00775447" w:rsidP="005F66CC">
            <w:pPr>
              <w:rPr>
                <w:rFonts w:ascii="Arial" w:hAnsi="Arial" w:cs="Arial"/>
                <w:sz w:val="24"/>
                <w:szCs w:val="24"/>
              </w:rPr>
            </w:pPr>
            <w:r w:rsidRPr="00F72486">
              <w:rPr>
                <w:rFonts w:ascii="Arial" w:hAnsi="Arial" w:cs="Arial"/>
                <w:sz w:val="24"/>
                <w:szCs w:val="24"/>
              </w:rPr>
              <w:t>What does ‘SOP’ mean?</w:t>
            </w:r>
          </w:p>
        </w:tc>
        <w:tc>
          <w:tcPr>
            <w:tcW w:w="4172" w:type="dxa"/>
            <w:shd w:val="clear" w:color="auto" w:fill="F2F2F2" w:themeFill="background1" w:themeFillShade="F2"/>
          </w:tcPr>
          <w:p w14:paraId="7A96F1B8" w14:textId="1F682832" w:rsidR="00775447" w:rsidRPr="00F72486" w:rsidRDefault="009F7F09" w:rsidP="005F66CC">
            <w:pPr>
              <w:rPr>
                <w:rFonts w:ascii="Arial" w:hAnsi="Arial" w:cs="Arial"/>
                <w:sz w:val="24"/>
                <w:szCs w:val="24"/>
              </w:rPr>
            </w:pPr>
            <w:r w:rsidRPr="00F72486">
              <w:rPr>
                <w:rFonts w:ascii="Arial" w:hAnsi="Arial" w:cs="Arial"/>
                <w:sz w:val="24"/>
                <w:szCs w:val="24"/>
              </w:rPr>
              <w:t>Speed of processing (a new claim or a change in circumstances).</w:t>
            </w:r>
          </w:p>
        </w:tc>
      </w:tr>
      <w:tr w:rsidR="00775447" w:rsidRPr="00F72486" w14:paraId="037BBF38" w14:textId="77777777" w:rsidTr="00603C31">
        <w:tc>
          <w:tcPr>
            <w:tcW w:w="1129" w:type="dxa"/>
            <w:shd w:val="clear" w:color="auto" w:fill="F2F2F2" w:themeFill="background1" w:themeFillShade="F2"/>
          </w:tcPr>
          <w:p w14:paraId="3E0D4CAC" w14:textId="77777777" w:rsidR="00775447" w:rsidRPr="00F72486" w:rsidRDefault="00775447" w:rsidP="005F66CC">
            <w:pPr>
              <w:rPr>
                <w:rFonts w:ascii="Arial" w:hAnsi="Arial" w:cs="Arial"/>
                <w:bCs/>
                <w:sz w:val="24"/>
                <w:szCs w:val="24"/>
              </w:rPr>
            </w:pPr>
          </w:p>
        </w:tc>
        <w:tc>
          <w:tcPr>
            <w:tcW w:w="2835" w:type="dxa"/>
            <w:shd w:val="clear" w:color="auto" w:fill="F2F2F2" w:themeFill="background1" w:themeFillShade="F2"/>
          </w:tcPr>
          <w:p w14:paraId="1F433EB9" w14:textId="77777777" w:rsidR="00775447" w:rsidRPr="00F72486" w:rsidRDefault="00775447" w:rsidP="005F66CC">
            <w:pPr>
              <w:rPr>
                <w:rFonts w:ascii="Arial" w:eastAsia="Times New Roman" w:hAnsi="Arial" w:cs="Arial"/>
                <w:sz w:val="24"/>
                <w:szCs w:val="24"/>
                <w:lang w:eastAsia="en-GB"/>
              </w:rPr>
            </w:pPr>
          </w:p>
        </w:tc>
        <w:tc>
          <w:tcPr>
            <w:tcW w:w="1418" w:type="dxa"/>
            <w:shd w:val="clear" w:color="auto" w:fill="F2F2F2" w:themeFill="background1" w:themeFillShade="F2"/>
          </w:tcPr>
          <w:p w14:paraId="71CA09AF" w14:textId="77777777" w:rsidR="00775447" w:rsidRPr="00F72486" w:rsidRDefault="00775447" w:rsidP="005F66CC">
            <w:pPr>
              <w:rPr>
                <w:rFonts w:ascii="Arial" w:hAnsi="Arial" w:cs="Arial"/>
                <w:sz w:val="24"/>
                <w:szCs w:val="24"/>
              </w:rPr>
            </w:pPr>
          </w:p>
        </w:tc>
        <w:tc>
          <w:tcPr>
            <w:tcW w:w="4394" w:type="dxa"/>
            <w:shd w:val="clear" w:color="auto" w:fill="F2F2F2" w:themeFill="background1" w:themeFillShade="F2"/>
          </w:tcPr>
          <w:p w14:paraId="6EE26D8A" w14:textId="532A6348" w:rsidR="00775447" w:rsidRPr="00F72486" w:rsidRDefault="00775447" w:rsidP="005F66CC">
            <w:pPr>
              <w:rPr>
                <w:rFonts w:ascii="Arial" w:hAnsi="Arial" w:cs="Arial"/>
                <w:sz w:val="24"/>
                <w:szCs w:val="24"/>
              </w:rPr>
            </w:pPr>
            <w:r w:rsidRPr="00F72486">
              <w:rPr>
                <w:rFonts w:ascii="Arial" w:hAnsi="Arial" w:cs="Arial"/>
                <w:sz w:val="24"/>
                <w:szCs w:val="24"/>
              </w:rPr>
              <w:t>Is the Council expected to meet the target by the end of Q2 2023/24?</w:t>
            </w:r>
          </w:p>
        </w:tc>
        <w:tc>
          <w:tcPr>
            <w:tcW w:w="4172" w:type="dxa"/>
            <w:shd w:val="clear" w:color="auto" w:fill="F2F2F2" w:themeFill="background1" w:themeFillShade="F2"/>
          </w:tcPr>
          <w:p w14:paraId="25A218C5" w14:textId="787008C2" w:rsidR="00775447" w:rsidRPr="00F72486" w:rsidRDefault="00775447" w:rsidP="00775447">
            <w:pPr>
              <w:rPr>
                <w:rFonts w:ascii="Arial" w:hAnsi="Arial" w:cs="Arial"/>
                <w:sz w:val="24"/>
                <w:szCs w:val="24"/>
              </w:rPr>
            </w:pPr>
            <w:r w:rsidRPr="00F72486">
              <w:rPr>
                <w:rFonts w:ascii="Arial" w:hAnsi="Arial" w:cs="Arial"/>
                <w:sz w:val="24"/>
                <w:szCs w:val="24"/>
              </w:rPr>
              <w:t>No, this is not expected to be within the targets until the end of the 2023/24 financial year. We are currently tracking at an August Speed of Processing of 16 days which is a day over the target. </w:t>
            </w:r>
          </w:p>
          <w:p w14:paraId="7F9147C8" w14:textId="77136A48" w:rsidR="00775447" w:rsidRPr="00F72486" w:rsidRDefault="00775447" w:rsidP="00775447">
            <w:pPr>
              <w:rPr>
                <w:rFonts w:ascii="Arial" w:hAnsi="Arial" w:cs="Arial"/>
                <w:sz w:val="24"/>
                <w:szCs w:val="24"/>
              </w:rPr>
            </w:pPr>
            <w:r w:rsidRPr="00F72486">
              <w:rPr>
                <w:rFonts w:ascii="Arial" w:hAnsi="Arial" w:cs="Arial"/>
                <w:sz w:val="24"/>
                <w:szCs w:val="24"/>
              </w:rPr>
              <w:t>Our performance in Q2 is showing a significant reduction in the year-to-date figure going forwards.</w:t>
            </w:r>
          </w:p>
        </w:tc>
      </w:tr>
      <w:tr w:rsidR="002947AA" w:rsidRPr="00F72486" w14:paraId="499ED093" w14:textId="77777777" w:rsidTr="007A3EEA">
        <w:tc>
          <w:tcPr>
            <w:tcW w:w="1129" w:type="dxa"/>
          </w:tcPr>
          <w:p w14:paraId="266809F9" w14:textId="568EFE26" w:rsidR="002947AA" w:rsidRPr="00F72486" w:rsidRDefault="002947AA" w:rsidP="005F66CC">
            <w:pPr>
              <w:rPr>
                <w:rFonts w:ascii="Arial" w:hAnsi="Arial" w:cs="Arial"/>
                <w:bCs/>
                <w:sz w:val="24"/>
                <w:szCs w:val="24"/>
              </w:rPr>
            </w:pPr>
            <w:r w:rsidRPr="00F72486">
              <w:rPr>
                <w:rFonts w:ascii="Arial" w:hAnsi="Arial" w:cs="Arial"/>
                <w:bCs/>
                <w:sz w:val="24"/>
                <w:szCs w:val="24"/>
              </w:rPr>
              <w:t>CS005</w:t>
            </w:r>
          </w:p>
        </w:tc>
        <w:tc>
          <w:tcPr>
            <w:tcW w:w="2835" w:type="dxa"/>
          </w:tcPr>
          <w:p w14:paraId="00534A10" w14:textId="490F8E7B" w:rsidR="002947AA" w:rsidRPr="00F72486" w:rsidRDefault="002947AA"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Time to process new benefits claims</w:t>
            </w:r>
          </w:p>
        </w:tc>
        <w:tc>
          <w:tcPr>
            <w:tcW w:w="1418" w:type="dxa"/>
          </w:tcPr>
          <w:p w14:paraId="164CE88F" w14:textId="630C736B" w:rsidR="002947AA" w:rsidRPr="00F72486" w:rsidRDefault="002947AA" w:rsidP="005F66CC">
            <w:pPr>
              <w:rPr>
                <w:rFonts w:ascii="Arial" w:hAnsi="Arial" w:cs="Arial"/>
                <w:sz w:val="24"/>
                <w:szCs w:val="24"/>
              </w:rPr>
            </w:pPr>
            <w:r w:rsidRPr="00F72486">
              <w:rPr>
                <w:rFonts w:ascii="Arial" w:hAnsi="Arial" w:cs="Arial"/>
                <w:sz w:val="24"/>
                <w:szCs w:val="24"/>
              </w:rPr>
              <w:t xml:space="preserve">Laura </w:t>
            </w:r>
            <w:proofErr w:type="spellStart"/>
            <w:r w:rsidRPr="00F72486">
              <w:rPr>
                <w:rFonts w:ascii="Arial" w:hAnsi="Arial" w:cs="Arial"/>
                <w:sz w:val="24"/>
                <w:szCs w:val="24"/>
              </w:rPr>
              <w:t>Bessell</w:t>
            </w:r>
            <w:proofErr w:type="spellEnd"/>
          </w:p>
        </w:tc>
        <w:tc>
          <w:tcPr>
            <w:tcW w:w="4394" w:type="dxa"/>
          </w:tcPr>
          <w:p w14:paraId="1F8277E4" w14:textId="6F497D75" w:rsidR="002947AA" w:rsidRPr="00F72486" w:rsidRDefault="00775447" w:rsidP="005F66CC">
            <w:pPr>
              <w:rPr>
                <w:rFonts w:ascii="Arial" w:hAnsi="Arial" w:cs="Arial"/>
                <w:bCs/>
                <w:sz w:val="24"/>
                <w:szCs w:val="24"/>
              </w:rPr>
            </w:pPr>
            <w:r w:rsidRPr="00F72486">
              <w:rPr>
                <w:rFonts w:ascii="Arial" w:hAnsi="Arial" w:cs="Arial"/>
                <w:sz w:val="24"/>
                <w:szCs w:val="24"/>
              </w:rPr>
              <w:t>Is the Council expected to meet the target by the end of Q2 2023/24?</w:t>
            </w:r>
          </w:p>
        </w:tc>
        <w:tc>
          <w:tcPr>
            <w:tcW w:w="4172" w:type="dxa"/>
          </w:tcPr>
          <w:p w14:paraId="628175ED" w14:textId="1A90BD7A" w:rsidR="00775447" w:rsidRPr="00F72486" w:rsidRDefault="00775447" w:rsidP="00775447">
            <w:pPr>
              <w:rPr>
                <w:rFonts w:ascii="Arial" w:hAnsi="Arial" w:cs="Arial"/>
                <w:sz w:val="24"/>
                <w:szCs w:val="24"/>
              </w:rPr>
            </w:pPr>
            <w:r w:rsidRPr="00F72486">
              <w:rPr>
                <w:rFonts w:ascii="Arial" w:hAnsi="Arial" w:cs="Arial"/>
                <w:sz w:val="24"/>
                <w:szCs w:val="24"/>
              </w:rPr>
              <w:t>No, this is not expected to be within the targets until the end of the financial year.  We are currently tracking at an August Speed of Processing of 17 days which is 2 days over the target. </w:t>
            </w:r>
          </w:p>
          <w:p w14:paraId="3DC1AF83" w14:textId="2C6F3E25" w:rsidR="00775447" w:rsidRPr="00F72486" w:rsidRDefault="00775447" w:rsidP="00775447">
            <w:pPr>
              <w:rPr>
                <w:rFonts w:ascii="Arial" w:hAnsi="Arial" w:cs="Arial"/>
                <w:sz w:val="24"/>
                <w:szCs w:val="24"/>
              </w:rPr>
            </w:pPr>
            <w:r w:rsidRPr="00F72486">
              <w:rPr>
                <w:rFonts w:ascii="Arial" w:hAnsi="Arial" w:cs="Arial"/>
                <w:sz w:val="24"/>
                <w:szCs w:val="24"/>
              </w:rPr>
              <w:t>We are currently at a year-to-date speed of processing of 20 days. </w:t>
            </w:r>
          </w:p>
          <w:p w14:paraId="6B3E21AD" w14:textId="1B95F9EA" w:rsidR="002947AA" w:rsidRPr="00F72486" w:rsidRDefault="00775447" w:rsidP="00775447">
            <w:pPr>
              <w:rPr>
                <w:rFonts w:ascii="Arial" w:hAnsi="Arial" w:cs="Arial"/>
                <w:sz w:val="24"/>
                <w:szCs w:val="24"/>
              </w:rPr>
            </w:pPr>
            <w:r w:rsidRPr="00F72486">
              <w:rPr>
                <w:rFonts w:ascii="Arial" w:hAnsi="Arial" w:cs="Arial"/>
                <w:sz w:val="24"/>
                <w:szCs w:val="24"/>
              </w:rPr>
              <w:t>Our performance in Q2 is showing a significant reduction in the Year-to-date figure going forwards.</w:t>
            </w:r>
          </w:p>
        </w:tc>
      </w:tr>
      <w:tr w:rsidR="002947AA" w:rsidRPr="00F72486" w14:paraId="0318367D" w14:textId="77777777" w:rsidTr="00603C31">
        <w:tc>
          <w:tcPr>
            <w:tcW w:w="1129" w:type="dxa"/>
            <w:shd w:val="clear" w:color="auto" w:fill="F2F2F2" w:themeFill="background1" w:themeFillShade="F2"/>
          </w:tcPr>
          <w:p w14:paraId="7C72D689" w14:textId="0472EBC1" w:rsidR="002947AA" w:rsidRPr="00F72486" w:rsidRDefault="002947AA" w:rsidP="005F66CC">
            <w:pPr>
              <w:rPr>
                <w:rFonts w:ascii="Arial" w:hAnsi="Arial" w:cs="Arial"/>
                <w:bCs/>
                <w:sz w:val="24"/>
                <w:szCs w:val="24"/>
              </w:rPr>
            </w:pPr>
            <w:r w:rsidRPr="00F72486">
              <w:rPr>
                <w:rFonts w:ascii="Arial" w:hAnsi="Arial" w:cs="Arial"/>
                <w:bCs/>
                <w:sz w:val="24"/>
                <w:szCs w:val="24"/>
              </w:rPr>
              <w:lastRenderedPageBreak/>
              <w:t>FN008</w:t>
            </w:r>
          </w:p>
        </w:tc>
        <w:tc>
          <w:tcPr>
            <w:tcW w:w="2835" w:type="dxa"/>
            <w:shd w:val="clear" w:color="auto" w:fill="F2F2F2" w:themeFill="background1" w:themeFillShade="F2"/>
          </w:tcPr>
          <w:p w14:paraId="5C9D35C9" w14:textId="3E5DED8D" w:rsidR="002947AA" w:rsidRPr="00F72486" w:rsidRDefault="002947AA"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 xml:space="preserve">Investment </w:t>
            </w:r>
            <w:proofErr w:type="gramStart"/>
            <w:r w:rsidRPr="00F72486">
              <w:rPr>
                <w:rFonts w:ascii="Arial" w:eastAsia="Times New Roman" w:hAnsi="Arial" w:cs="Arial"/>
                <w:sz w:val="24"/>
                <w:szCs w:val="24"/>
                <w:lang w:eastAsia="en-GB"/>
              </w:rPr>
              <w:t>return</w:t>
            </w:r>
            <w:proofErr w:type="gramEnd"/>
            <w:r w:rsidRPr="00F72486">
              <w:rPr>
                <w:rFonts w:ascii="Arial" w:eastAsia="Times New Roman" w:hAnsi="Arial" w:cs="Arial"/>
                <w:sz w:val="24"/>
                <w:szCs w:val="24"/>
                <w:lang w:eastAsia="en-GB"/>
              </w:rPr>
              <w:t xml:space="preserve"> above base rate</w:t>
            </w:r>
          </w:p>
        </w:tc>
        <w:tc>
          <w:tcPr>
            <w:tcW w:w="1418" w:type="dxa"/>
            <w:shd w:val="clear" w:color="auto" w:fill="F2F2F2" w:themeFill="background1" w:themeFillShade="F2"/>
          </w:tcPr>
          <w:p w14:paraId="16254F24" w14:textId="54A1B5FF" w:rsidR="002947AA" w:rsidRPr="00F72486" w:rsidRDefault="002947AA" w:rsidP="005F66CC">
            <w:pPr>
              <w:rPr>
                <w:rFonts w:ascii="Arial" w:hAnsi="Arial" w:cs="Arial"/>
                <w:sz w:val="24"/>
                <w:szCs w:val="24"/>
              </w:rPr>
            </w:pPr>
            <w:r w:rsidRPr="00F72486">
              <w:rPr>
                <w:rFonts w:ascii="Arial" w:hAnsi="Arial" w:cs="Arial"/>
                <w:sz w:val="24"/>
                <w:szCs w:val="24"/>
              </w:rPr>
              <w:t>Bill Lewis</w:t>
            </w:r>
          </w:p>
        </w:tc>
        <w:tc>
          <w:tcPr>
            <w:tcW w:w="4394" w:type="dxa"/>
            <w:shd w:val="clear" w:color="auto" w:fill="F2F2F2" w:themeFill="background1" w:themeFillShade="F2"/>
          </w:tcPr>
          <w:p w14:paraId="3059D9DE" w14:textId="41C95514" w:rsidR="002947AA" w:rsidRPr="00F72486" w:rsidRDefault="002947AA" w:rsidP="002947AA">
            <w:pPr>
              <w:spacing w:after="160" w:line="259" w:lineRule="auto"/>
              <w:rPr>
                <w:rFonts w:ascii="Arial" w:hAnsi="Arial" w:cs="Arial"/>
                <w:sz w:val="24"/>
                <w:szCs w:val="24"/>
              </w:rPr>
            </w:pPr>
            <w:r w:rsidRPr="00F72486">
              <w:rPr>
                <w:rFonts w:ascii="Arial" w:hAnsi="Arial" w:cs="Arial"/>
                <w:sz w:val="24"/>
                <w:szCs w:val="24"/>
              </w:rPr>
              <w:t xml:space="preserve">What is the outlook for this measure in the short, </w:t>
            </w:r>
            <w:proofErr w:type="gramStart"/>
            <w:r w:rsidRPr="00F72486">
              <w:rPr>
                <w:rFonts w:ascii="Arial" w:hAnsi="Arial" w:cs="Arial"/>
                <w:sz w:val="24"/>
                <w:szCs w:val="24"/>
              </w:rPr>
              <w:t>medium</w:t>
            </w:r>
            <w:proofErr w:type="gramEnd"/>
            <w:r w:rsidRPr="00F72486">
              <w:rPr>
                <w:rFonts w:ascii="Arial" w:hAnsi="Arial" w:cs="Arial"/>
                <w:sz w:val="24"/>
                <w:szCs w:val="24"/>
              </w:rPr>
              <w:t xml:space="preserve"> and long term; and do the Council’s investments continue to be the most appropriate in the current climate?</w:t>
            </w:r>
          </w:p>
        </w:tc>
        <w:tc>
          <w:tcPr>
            <w:tcW w:w="4172" w:type="dxa"/>
            <w:shd w:val="clear" w:color="auto" w:fill="F2F2F2" w:themeFill="background1" w:themeFillShade="F2"/>
          </w:tcPr>
          <w:p w14:paraId="619B70CF" w14:textId="59A999EB" w:rsidR="005D5E12" w:rsidRPr="00F72486" w:rsidRDefault="005D5E12" w:rsidP="005D5E12">
            <w:pPr>
              <w:rPr>
                <w:rFonts w:ascii="Arial" w:hAnsi="Arial" w:cs="Arial"/>
                <w:sz w:val="24"/>
                <w:szCs w:val="24"/>
              </w:rPr>
            </w:pPr>
            <w:r w:rsidRPr="00F72486">
              <w:rPr>
                <w:rFonts w:ascii="Arial" w:hAnsi="Arial" w:cs="Arial"/>
                <w:sz w:val="24"/>
                <w:szCs w:val="24"/>
              </w:rPr>
              <w:t xml:space="preserve">It is intended that this will stay as a measure going forwards. This measure will tend to overachieve as interest rates go down and underachieve when interest rates are rising due to many of the investments being fixed term. It is still useful, </w:t>
            </w:r>
            <w:proofErr w:type="gramStart"/>
            <w:r w:rsidRPr="00F72486">
              <w:rPr>
                <w:rFonts w:ascii="Arial" w:hAnsi="Arial" w:cs="Arial"/>
                <w:sz w:val="24"/>
                <w:szCs w:val="24"/>
              </w:rPr>
              <w:t>however</w:t>
            </w:r>
            <w:proofErr w:type="gramEnd"/>
            <w:r w:rsidRPr="00F72486">
              <w:rPr>
                <w:rFonts w:ascii="Arial" w:hAnsi="Arial" w:cs="Arial"/>
                <w:sz w:val="24"/>
                <w:szCs w:val="24"/>
              </w:rPr>
              <w:t xml:space="preserve"> to have a KPI against which to measure investment performance.</w:t>
            </w:r>
          </w:p>
          <w:p w14:paraId="0207DF90" w14:textId="632C0066" w:rsidR="002947AA" w:rsidRPr="00F72486" w:rsidRDefault="005D5E12" w:rsidP="005D5E12">
            <w:pPr>
              <w:spacing w:after="160" w:line="259" w:lineRule="auto"/>
              <w:rPr>
                <w:rFonts w:ascii="Arial" w:hAnsi="Arial" w:cs="Arial"/>
                <w:sz w:val="24"/>
                <w:szCs w:val="24"/>
              </w:rPr>
            </w:pPr>
            <w:r w:rsidRPr="00F72486">
              <w:rPr>
                <w:rFonts w:ascii="Arial" w:hAnsi="Arial" w:cs="Arial"/>
                <w:sz w:val="24"/>
                <w:szCs w:val="24"/>
              </w:rPr>
              <w:t xml:space="preserve">The Council invests in a range of counterparties </w:t>
            </w:r>
            <w:proofErr w:type="gramStart"/>
            <w:r w:rsidRPr="00F72486">
              <w:rPr>
                <w:rFonts w:ascii="Arial" w:hAnsi="Arial" w:cs="Arial"/>
                <w:sz w:val="24"/>
                <w:szCs w:val="24"/>
              </w:rPr>
              <w:t>in order to</w:t>
            </w:r>
            <w:proofErr w:type="gramEnd"/>
            <w:r w:rsidRPr="00F72486">
              <w:rPr>
                <w:rFonts w:ascii="Arial" w:hAnsi="Arial" w:cs="Arial"/>
                <w:sz w:val="24"/>
                <w:szCs w:val="24"/>
              </w:rPr>
              <w:t xml:space="preserve"> spread the investment risk. The number of counterparties available that fit within our risk appetite is relatively small so there is limited scope to vary the counterparties used. The credit rating and risk of using each counterparty is updated in real time so if there is a change in counterparty risk rating, this will immediately affect investment decisions; this is in line with the Treasury Management Strategy and therefore </w:t>
            </w:r>
            <w:proofErr w:type="gramStart"/>
            <w:r w:rsidRPr="00F72486">
              <w:rPr>
                <w:rFonts w:ascii="Arial" w:hAnsi="Arial" w:cs="Arial"/>
                <w:sz w:val="24"/>
                <w:szCs w:val="24"/>
              </w:rPr>
              <w:t>takes into account</w:t>
            </w:r>
            <w:proofErr w:type="gramEnd"/>
            <w:r w:rsidRPr="00F72486">
              <w:rPr>
                <w:rFonts w:ascii="Arial" w:hAnsi="Arial" w:cs="Arial"/>
                <w:sz w:val="24"/>
                <w:szCs w:val="24"/>
              </w:rPr>
              <w:t xml:space="preserve"> financial market changes.</w:t>
            </w:r>
          </w:p>
        </w:tc>
      </w:tr>
      <w:tr w:rsidR="002947AA" w:rsidRPr="00F72486" w14:paraId="7F162B58" w14:textId="77777777" w:rsidTr="007A3EEA">
        <w:tc>
          <w:tcPr>
            <w:tcW w:w="1129" w:type="dxa"/>
          </w:tcPr>
          <w:p w14:paraId="53D3A87D" w14:textId="01A33A30" w:rsidR="002947AA" w:rsidRPr="00F72486" w:rsidRDefault="002947AA" w:rsidP="005F66CC">
            <w:pPr>
              <w:rPr>
                <w:rFonts w:ascii="Arial" w:hAnsi="Arial" w:cs="Arial"/>
                <w:bCs/>
                <w:sz w:val="24"/>
                <w:szCs w:val="24"/>
              </w:rPr>
            </w:pPr>
            <w:r w:rsidRPr="00F72486">
              <w:rPr>
                <w:rFonts w:ascii="Arial" w:hAnsi="Arial" w:cs="Arial"/>
                <w:bCs/>
                <w:sz w:val="24"/>
                <w:szCs w:val="24"/>
              </w:rPr>
              <w:t>FN052</w:t>
            </w:r>
          </w:p>
        </w:tc>
        <w:tc>
          <w:tcPr>
            <w:tcW w:w="2835" w:type="dxa"/>
          </w:tcPr>
          <w:p w14:paraId="79F3A1D1" w14:textId="3F96C61C" w:rsidR="002947AA" w:rsidRPr="00F72486" w:rsidRDefault="002947AA"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Percentage of Council spend with SME's</w:t>
            </w:r>
          </w:p>
        </w:tc>
        <w:tc>
          <w:tcPr>
            <w:tcW w:w="1418" w:type="dxa"/>
          </w:tcPr>
          <w:p w14:paraId="1293CA09" w14:textId="3E88FFAF" w:rsidR="002947AA" w:rsidRPr="00F72486" w:rsidRDefault="002947AA" w:rsidP="005F66CC">
            <w:pPr>
              <w:rPr>
                <w:rFonts w:ascii="Arial" w:hAnsi="Arial" w:cs="Arial"/>
                <w:sz w:val="24"/>
                <w:szCs w:val="24"/>
              </w:rPr>
            </w:pPr>
            <w:r w:rsidRPr="00F72486">
              <w:rPr>
                <w:rFonts w:ascii="Arial" w:hAnsi="Arial" w:cs="Arial"/>
                <w:sz w:val="24"/>
                <w:szCs w:val="24"/>
              </w:rPr>
              <w:t>Annette Osborne</w:t>
            </w:r>
          </w:p>
        </w:tc>
        <w:tc>
          <w:tcPr>
            <w:tcW w:w="4394" w:type="dxa"/>
          </w:tcPr>
          <w:p w14:paraId="4ABA7F87" w14:textId="1A50EEC6" w:rsidR="002947AA" w:rsidRPr="00F72486" w:rsidRDefault="002947AA" w:rsidP="005F66CC">
            <w:pPr>
              <w:rPr>
                <w:rFonts w:ascii="Arial" w:hAnsi="Arial" w:cs="Arial"/>
                <w:bCs/>
                <w:sz w:val="24"/>
                <w:szCs w:val="24"/>
              </w:rPr>
            </w:pPr>
            <w:r w:rsidRPr="00F72486">
              <w:rPr>
                <w:rFonts w:ascii="Arial" w:hAnsi="Arial" w:cs="Arial"/>
                <w:bCs/>
                <w:sz w:val="24"/>
                <w:szCs w:val="24"/>
              </w:rPr>
              <w:t>Can the commentary be clarified/explained, as it is difficult to follow?</w:t>
            </w:r>
          </w:p>
        </w:tc>
        <w:tc>
          <w:tcPr>
            <w:tcW w:w="4172" w:type="dxa"/>
          </w:tcPr>
          <w:p w14:paraId="6FBB4A16" w14:textId="0CD02719" w:rsidR="002947AA" w:rsidRPr="00F72486" w:rsidRDefault="00843C21" w:rsidP="00843C21">
            <w:pPr>
              <w:spacing w:after="160" w:line="259" w:lineRule="auto"/>
              <w:rPr>
                <w:rFonts w:ascii="Arial" w:hAnsi="Arial" w:cs="Arial"/>
                <w:sz w:val="24"/>
                <w:szCs w:val="24"/>
              </w:rPr>
            </w:pPr>
            <w:r w:rsidRPr="00F72486">
              <w:rPr>
                <w:rFonts w:ascii="Arial" w:hAnsi="Arial" w:cs="Arial"/>
                <w:sz w:val="24"/>
                <w:szCs w:val="24"/>
              </w:rPr>
              <w:t xml:space="preserve">The Q1 average for OCC </w:t>
            </w:r>
            <w:proofErr w:type="gramStart"/>
            <w:r w:rsidRPr="00F72486">
              <w:rPr>
                <w:rFonts w:ascii="Arial" w:hAnsi="Arial" w:cs="Arial"/>
                <w:sz w:val="24"/>
                <w:szCs w:val="24"/>
              </w:rPr>
              <w:t>spend</w:t>
            </w:r>
            <w:proofErr w:type="gramEnd"/>
            <w:r w:rsidRPr="00F72486">
              <w:rPr>
                <w:rFonts w:ascii="Arial" w:hAnsi="Arial" w:cs="Arial"/>
                <w:sz w:val="24"/>
                <w:szCs w:val="24"/>
              </w:rPr>
              <w:t xml:space="preserve"> with SMEs excluding ODS and OCHL 2023/24 is 70.15%; above the target of 45% - this is a yearly target due to </w:t>
            </w:r>
            <w:r w:rsidRPr="00F72486">
              <w:rPr>
                <w:rFonts w:ascii="Arial" w:hAnsi="Arial" w:cs="Arial"/>
                <w:sz w:val="24"/>
                <w:szCs w:val="24"/>
              </w:rPr>
              <w:lastRenderedPageBreak/>
              <w:t>fluctuations. This is the figure that should be reported, but officers believe the figure 26.</w:t>
            </w:r>
            <w:r w:rsidR="00BB0C9D" w:rsidRPr="00F72486">
              <w:rPr>
                <w:rFonts w:ascii="Arial" w:hAnsi="Arial" w:cs="Arial"/>
                <w:sz w:val="24"/>
                <w:szCs w:val="24"/>
              </w:rPr>
              <w:t>68</w:t>
            </w:r>
            <w:r w:rsidRPr="00F72486">
              <w:rPr>
                <w:rFonts w:ascii="Arial" w:hAnsi="Arial" w:cs="Arial"/>
                <w:sz w:val="24"/>
                <w:szCs w:val="24"/>
              </w:rPr>
              <w:t>% was input instead which is the spend with SMEs including payments the Council makes to ODS and OCHL, neither of which are classed as an SME.</w:t>
            </w:r>
          </w:p>
        </w:tc>
      </w:tr>
      <w:tr w:rsidR="002947AA" w:rsidRPr="00F72486" w14:paraId="20144940" w14:textId="77777777" w:rsidTr="00603C31">
        <w:tc>
          <w:tcPr>
            <w:tcW w:w="1129" w:type="dxa"/>
            <w:shd w:val="clear" w:color="auto" w:fill="F2F2F2" w:themeFill="background1" w:themeFillShade="F2"/>
          </w:tcPr>
          <w:p w14:paraId="2CC85D65" w14:textId="3D77AFD7" w:rsidR="002947AA" w:rsidRPr="00F72486" w:rsidRDefault="002947AA" w:rsidP="005F66CC">
            <w:pPr>
              <w:rPr>
                <w:rFonts w:ascii="Arial" w:hAnsi="Arial" w:cs="Arial"/>
                <w:bCs/>
                <w:sz w:val="24"/>
                <w:szCs w:val="24"/>
              </w:rPr>
            </w:pPr>
            <w:r w:rsidRPr="00F72486">
              <w:rPr>
                <w:rFonts w:ascii="Arial" w:hAnsi="Arial" w:cs="Arial"/>
                <w:bCs/>
                <w:sz w:val="24"/>
                <w:szCs w:val="24"/>
              </w:rPr>
              <w:lastRenderedPageBreak/>
              <w:t>FSC019a</w:t>
            </w:r>
          </w:p>
        </w:tc>
        <w:tc>
          <w:tcPr>
            <w:tcW w:w="2835" w:type="dxa"/>
            <w:shd w:val="clear" w:color="auto" w:fill="F2F2F2" w:themeFill="background1" w:themeFillShade="F2"/>
          </w:tcPr>
          <w:p w14:paraId="1DB3A936" w14:textId="2448AAE3" w:rsidR="002947AA" w:rsidRPr="00F72486" w:rsidRDefault="002947AA" w:rsidP="005F66CC">
            <w:pPr>
              <w:rPr>
                <w:rFonts w:ascii="Arial" w:eastAsia="Times New Roman" w:hAnsi="Arial" w:cs="Arial"/>
                <w:sz w:val="24"/>
                <w:szCs w:val="24"/>
                <w:lang w:eastAsia="en-GB"/>
              </w:rPr>
            </w:pPr>
            <w:r w:rsidRPr="00F72486">
              <w:rPr>
                <w:rFonts w:ascii="Arial" w:eastAsia="Times New Roman" w:hAnsi="Arial" w:cs="Arial"/>
                <w:sz w:val="24"/>
                <w:szCs w:val="24"/>
                <w:lang w:eastAsia="en-GB"/>
              </w:rPr>
              <w:t>Total income collection as % of plan (Council Tax)</w:t>
            </w:r>
          </w:p>
        </w:tc>
        <w:tc>
          <w:tcPr>
            <w:tcW w:w="1418" w:type="dxa"/>
            <w:shd w:val="clear" w:color="auto" w:fill="F2F2F2" w:themeFill="background1" w:themeFillShade="F2"/>
          </w:tcPr>
          <w:p w14:paraId="106F34F7" w14:textId="4AF953CF" w:rsidR="002947AA" w:rsidRPr="00F72486" w:rsidRDefault="002947AA" w:rsidP="005F66CC">
            <w:pPr>
              <w:rPr>
                <w:rFonts w:ascii="Arial" w:hAnsi="Arial" w:cs="Arial"/>
                <w:sz w:val="24"/>
                <w:szCs w:val="24"/>
              </w:rPr>
            </w:pPr>
            <w:r w:rsidRPr="00F72486">
              <w:rPr>
                <w:rFonts w:ascii="Arial" w:hAnsi="Arial" w:cs="Arial"/>
                <w:sz w:val="24"/>
                <w:szCs w:val="24"/>
              </w:rPr>
              <w:t>Nigel Kennedy</w:t>
            </w:r>
          </w:p>
        </w:tc>
        <w:tc>
          <w:tcPr>
            <w:tcW w:w="4394" w:type="dxa"/>
            <w:shd w:val="clear" w:color="auto" w:fill="F2F2F2" w:themeFill="background1" w:themeFillShade="F2"/>
          </w:tcPr>
          <w:p w14:paraId="154FB1FD" w14:textId="2CEF6D42" w:rsidR="002947AA" w:rsidRPr="00F72486" w:rsidRDefault="002947AA" w:rsidP="002947AA">
            <w:pPr>
              <w:spacing w:after="160" w:line="259" w:lineRule="auto"/>
              <w:rPr>
                <w:rFonts w:ascii="Arial" w:hAnsi="Arial" w:cs="Arial"/>
                <w:bCs/>
                <w:sz w:val="24"/>
                <w:szCs w:val="24"/>
              </w:rPr>
            </w:pPr>
            <w:r w:rsidRPr="00F72486">
              <w:rPr>
                <w:rFonts w:ascii="Arial" w:hAnsi="Arial" w:cs="Arial"/>
                <w:sz w:val="24"/>
                <w:szCs w:val="24"/>
              </w:rPr>
              <w:t xml:space="preserve">The Council slightly exceeded the target (by 0.44%) for Q1 2023/24; it is surprising that income collection is not less considering the current financial climate. Can any explanation be provided </w:t>
            </w:r>
            <w:r w:rsidR="00AC2B7E" w:rsidRPr="00F72486">
              <w:rPr>
                <w:rFonts w:ascii="Arial" w:hAnsi="Arial" w:cs="Arial"/>
                <w:sz w:val="24"/>
                <w:szCs w:val="24"/>
              </w:rPr>
              <w:t>as to why this is the case?</w:t>
            </w:r>
          </w:p>
        </w:tc>
        <w:tc>
          <w:tcPr>
            <w:tcW w:w="4172" w:type="dxa"/>
            <w:shd w:val="clear" w:color="auto" w:fill="F2F2F2" w:themeFill="background1" w:themeFillShade="F2"/>
          </w:tcPr>
          <w:p w14:paraId="2D6BEA9D" w14:textId="29F13741" w:rsidR="002947AA" w:rsidRPr="00F72486" w:rsidRDefault="00EB50D1" w:rsidP="00EB50D1">
            <w:pPr>
              <w:spacing w:after="160" w:line="259" w:lineRule="auto"/>
              <w:rPr>
                <w:rFonts w:ascii="Arial" w:hAnsi="Arial" w:cs="Arial"/>
                <w:sz w:val="24"/>
                <w:szCs w:val="24"/>
              </w:rPr>
            </w:pPr>
            <w:r w:rsidRPr="00F72486">
              <w:rPr>
                <w:rFonts w:ascii="Arial" w:hAnsi="Arial" w:cs="Arial"/>
                <w:color w:val="000000"/>
                <w:sz w:val="24"/>
                <w:szCs w:val="24"/>
              </w:rPr>
              <w:t xml:space="preserve">We have started to return to court processing in Council Tax which was suspended during the time of </w:t>
            </w:r>
            <w:r w:rsidR="00A73FF2" w:rsidRPr="00F72486">
              <w:rPr>
                <w:rFonts w:ascii="Arial" w:hAnsi="Arial" w:cs="Arial"/>
                <w:color w:val="000000"/>
                <w:sz w:val="24"/>
                <w:szCs w:val="24"/>
              </w:rPr>
              <w:t>COVID-19</w:t>
            </w:r>
            <w:r w:rsidRPr="00F72486">
              <w:rPr>
                <w:rFonts w:ascii="Arial" w:hAnsi="Arial" w:cs="Arial"/>
                <w:color w:val="000000"/>
                <w:sz w:val="24"/>
                <w:szCs w:val="24"/>
              </w:rPr>
              <w:t xml:space="preserve"> and system migration.  The increase in cases which have been summons has now increased the collection.</w:t>
            </w:r>
          </w:p>
        </w:tc>
      </w:tr>
      <w:tr w:rsidR="002947AA" w:rsidRPr="00F72486" w14:paraId="48D5EBF3" w14:textId="77777777" w:rsidTr="007A3EEA">
        <w:tc>
          <w:tcPr>
            <w:tcW w:w="1129" w:type="dxa"/>
          </w:tcPr>
          <w:p w14:paraId="2903C0B0" w14:textId="23F4E23A" w:rsidR="002947AA" w:rsidRPr="00F72486" w:rsidRDefault="002947AA" w:rsidP="002947AA">
            <w:pPr>
              <w:rPr>
                <w:rFonts w:ascii="Arial" w:hAnsi="Arial" w:cs="Arial"/>
                <w:bCs/>
                <w:sz w:val="24"/>
                <w:szCs w:val="24"/>
              </w:rPr>
            </w:pPr>
            <w:r w:rsidRPr="00F72486">
              <w:rPr>
                <w:rFonts w:ascii="Arial" w:hAnsi="Arial" w:cs="Arial"/>
                <w:bCs/>
                <w:sz w:val="24"/>
                <w:szCs w:val="24"/>
              </w:rPr>
              <w:t>FSC019b</w:t>
            </w:r>
          </w:p>
        </w:tc>
        <w:tc>
          <w:tcPr>
            <w:tcW w:w="2835" w:type="dxa"/>
          </w:tcPr>
          <w:p w14:paraId="1003E626" w14:textId="0A034E48"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Total income collection as % of plan (Business Rates)</w:t>
            </w:r>
          </w:p>
        </w:tc>
        <w:tc>
          <w:tcPr>
            <w:tcW w:w="1418" w:type="dxa"/>
          </w:tcPr>
          <w:p w14:paraId="00A0FADA" w14:textId="6ABF3B0E" w:rsidR="002947AA" w:rsidRPr="00F72486" w:rsidRDefault="002947AA" w:rsidP="002947AA">
            <w:pPr>
              <w:rPr>
                <w:rFonts w:ascii="Arial" w:hAnsi="Arial" w:cs="Arial"/>
                <w:sz w:val="24"/>
                <w:szCs w:val="24"/>
              </w:rPr>
            </w:pPr>
            <w:r w:rsidRPr="00F72486">
              <w:rPr>
                <w:rFonts w:ascii="Arial" w:hAnsi="Arial" w:cs="Arial"/>
                <w:sz w:val="24"/>
                <w:szCs w:val="24"/>
              </w:rPr>
              <w:t>Nigel Kennedy</w:t>
            </w:r>
          </w:p>
        </w:tc>
        <w:tc>
          <w:tcPr>
            <w:tcW w:w="4394" w:type="dxa"/>
          </w:tcPr>
          <w:p w14:paraId="3AC435C4" w14:textId="1E8DDE06" w:rsidR="002947AA" w:rsidRPr="00F72486" w:rsidRDefault="00AC2B7E" w:rsidP="002947AA">
            <w:pPr>
              <w:rPr>
                <w:rFonts w:ascii="Arial" w:hAnsi="Arial" w:cs="Arial"/>
                <w:bCs/>
                <w:sz w:val="24"/>
                <w:szCs w:val="24"/>
              </w:rPr>
            </w:pPr>
            <w:r w:rsidRPr="00F72486">
              <w:rPr>
                <w:rFonts w:ascii="Arial" w:hAnsi="Arial" w:cs="Arial"/>
                <w:sz w:val="24"/>
                <w:szCs w:val="24"/>
              </w:rPr>
              <w:t>What is the reasoning behind Business Rates being down by 3%?</w:t>
            </w:r>
          </w:p>
        </w:tc>
        <w:tc>
          <w:tcPr>
            <w:tcW w:w="4172" w:type="dxa"/>
          </w:tcPr>
          <w:p w14:paraId="144F7F5E" w14:textId="2EA005A1" w:rsidR="002947AA" w:rsidRPr="00F72486" w:rsidRDefault="00DC4FAA" w:rsidP="002947AA">
            <w:pPr>
              <w:rPr>
                <w:rFonts w:ascii="Arial" w:hAnsi="Arial" w:cs="Arial"/>
                <w:sz w:val="24"/>
                <w:szCs w:val="24"/>
              </w:rPr>
            </w:pPr>
            <w:r w:rsidRPr="00F72486">
              <w:rPr>
                <w:rFonts w:ascii="Arial" w:hAnsi="Arial" w:cs="Arial"/>
                <w:color w:val="000000"/>
                <w:sz w:val="24"/>
                <w:szCs w:val="24"/>
                <w:shd w:val="clear" w:color="auto" w:fill="FFFFFF"/>
              </w:rPr>
              <w:t>We have experienced an increase in levels of work to be completed.  We have also had some changes in our working practise to Universities and Schools.  This has affected our collection in Q1; these payments have now received in Q3.</w:t>
            </w:r>
          </w:p>
        </w:tc>
      </w:tr>
      <w:tr w:rsidR="002947AA" w:rsidRPr="00F72486" w14:paraId="01FC28EF" w14:textId="77777777" w:rsidTr="00603C31">
        <w:tc>
          <w:tcPr>
            <w:tcW w:w="1129" w:type="dxa"/>
            <w:shd w:val="clear" w:color="auto" w:fill="F2F2F2" w:themeFill="background1" w:themeFillShade="F2"/>
          </w:tcPr>
          <w:p w14:paraId="74EDE5B0" w14:textId="02EA0D25" w:rsidR="002947AA" w:rsidRPr="00F72486" w:rsidRDefault="002947AA" w:rsidP="002947AA">
            <w:pPr>
              <w:rPr>
                <w:rFonts w:ascii="Arial" w:hAnsi="Arial" w:cs="Arial"/>
                <w:bCs/>
                <w:sz w:val="24"/>
                <w:szCs w:val="24"/>
              </w:rPr>
            </w:pPr>
            <w:r w:rsidRPr="00F72486">
              <w:rPr>
                <w:rFonts w:ascii="Arial" w:hAnsi="Arial" w:cs="Arial"/>
                <w:bCs/>
                <w:sz w:val="24"/>
                <w:szCs w:val="24"/>
              </w:rPr>
              <w:t>FSC020</w:t>
            </w:r>
          </w:p>
        </w:tc>
        <w:tc>
          <w:tcPr>
            <w:tcW w:w="2835" w:type="dxa"/>
            <w:shd w:val="clear" w:color="auto" w:fill="F2F2F2" w:themeFill="background1" w:themeFillShade="F2"/>
          </w:tcPr>
          <w:p w14:paraId="659197CE" w14:textId="6FF431F0"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Discretionary funding won by the Council</w:t>
            </w:r>
          </w:p>
        </w:tc>
        <w:tc>
          <w:tcPr>
            <w:tcW w:w="1418" w:type="dxa"/>
            <w:shd w:val="clear" w:color="auto" w:fill="F2F2F2" w:themeFill="background1" w:themeFillShade="F2"/>
          </w:tcPr>
          <w:p w14:paraId="1D79B83E" w14:textId="302FE99F" w:rsidR="002947AA" w:rsidRPr="00F72486" w:rsidRDefault="002947AA" w:rsidP="002947AA">
            <w:pPr>
              <w:rPr>
                <w:rFonts w:ascii="Arial" w:hAnsi="Arial" w:cs="Arial"/>
                <w:sz w:val="24"/>
                <w:szCs w:val="24"/>
              </w:rPr>
            </w:pPr>
            <w:r w:rsidRPr="00F72486">
              <w:rPr>
                <w:rFonts w:ascii="Arial" w:hAnsi="Arial" w:cs="Arial"/>
                <w:sz w:val="24"/>
                <w:szCs w:val="24"/>
              </w:rPr>
              <w:t>Anna Winship, Nigel Kennedy</w:t>
            </w:r>
          </w:p>
        </w:tc>
        <w:tc>
          <w:tcPr>
            <w:tcW w:w="4394" w:type="dxa"/>
            <w:shd w:val="clear" w:color="auto" w:fill="F2F2F2" w:themeFill="background1" w:themeFillShade="F2"/>
          </w:tcPr>
          <w:p w14:paraId="619DE668" w14:textId="40088CF4" w:rsidR="002947AA" w:rsidRPr="00F72486" w:rsidRDefault="00AC2B7E" w:rsidP="002947AA">
            <w:pPr>
              <w:rPr>
                <w:rFonts w:ascii="Arial" w:hAnsi="Arial" w:cs="Arial"/>
                <w:bCs/>
                <w:sz w:val="24"/>
                <w:szCs w:val="24"/>
              </w:rPr>
            </w:pPr>
            <w:r w:rsidRPr="00F72486">
              <w:rPr>
                <w:rFonts w:ascii="Arial" w:hAnsi="Arial" w:cs="Arial"/>
                <w:bCs/>
                <w:sz w:val="24"/>
                <w:szCs w:val="24"/>
              </w:rPr>
              <w:t>Is there any discretionary funding expected or in the pipeline?</w:t>
            </w:r>
          </w:p>
        </w:tc>
        <w:tc>
          <w:tcPr>
            <w:tcW w:w="4172" w:type="dxa"/>
            <w:shd w:val="clear" w:color="auto" w:fill="F2F2F2" w:themeFill="background1" w:themeFillShade="F2"/>
          </w:tcPr>
          <w:p w14:paraId="019D135B" w14:textId="32FCB9CF" w:rsidR="002947AA" w:rsidRPr="00F72486" w:rsidRDefault="00065F44" w:rsidP="002947AA">
            <w:pPr>
              <w:rPr>
                <w:rFonts w:ascii="Arial" w:hAnsi="Arial" w:cs="Arial"/>
                <w:sz w:val="24"/>
                <w:szCs w:val="24"/>
              </w:rPr>
            </w:pPr>
            <w:r w:rsidRPr="00F72486">
              <w:rPr>
                <w:rStyle w:val="elementtoproof"/>
                <w:rFonts w:ascii="Arial" w:eastAsia="Times New Roman" w:hAnsi="Arial" w:cs="Arial"/>
                <w:color w:val="000000"/>
                <w:sz w:val="24"/>
                <w:szCs w:val="24"/>
              </w:rPr>
              <w:t>The Council has now received notifications of £2.426m of funding to date.</w:t>
            </w:r>
          </w:p>
        </w:tc>
      </w:tr>
      <w:tr w:rsidR="002947AA" w:rsidRPr="00F72486" w14:paraId="29EFF2AD" w14:textId="77777777" w:rsidTr="007A3EEA">
        <w:tc>
          <w:tcPr>
            <w:tcW w:w="1129" w:type="dxa"/>
          </w:tcPr>
          <w:p w14:paraId="2C0933A2" w14:textId="681759CF" w:rsidR="002947AA" w:rsidRPr="00F72486" w:rsidRDefault="002947AA" w:rsidP="002947AA">
            <w:pPr>
              <w:rPr>
                <w:rFonts w:ascii="Arial" w:hAnsi="Arial" w:cs="Arial"/>
                <w:bCs/>
                <w:sz w:val="24"/>
                <w:szCs w:val="24"/>
              </w:rPr>
            </w:pPr>
            <w:r w:rsidRPr="00F72486">
              <w:rPr>
                <w:rFonts w:ascii="Arial" w:hAnsi="Arial" w:cs="Arial"/>
                <w:bCs/>
                <w:sz w:val="24"/>
                <w:szCs w:val="24"/>
              </w:rPr>
              <w:t>REC002</w:t>
            </w:r>
          </w:p>
        </w:tc>
        <w:tc>
          <w:tcPr>
            <w:tcW w:w="2835" w:type="dxa"/>
          </w:tcPr>
          <w:p w14:paraId="780E9448" w14:textId="384CDD4C"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Number of Oxford Living Wage employers and employees</w:t>
            </w:r>
          </w:p>
        </w:tc>
        <w:tc>
          <w:tcPr>
            <w:tcW w:w="1418" w:type="dxa"/>
          </w:tcPr>
          <w:p w14:paraId="625B8477" w14:textId="01FC52DC" w:rsidR="002947AA" w:rsidRPr="00F72486" w:rsidRDefault="002947AA" w:rsidP="002947AA">
            <w:pPr>
              <w:rPr>
                <w:rFonts w:ascii="Arial" w:hAnsi="Arial" w:cs="Arial"/>
                <w:sz w:val="24"/>
                <w:szCs w:val="24"/>
              </w:rPr>
            </w:pPr>
            <w:r w:rsidRPr="00F72486">
              <w:rPr>
                <w:rFonts w:ascii="Arial" w:hAnsi="Arial" w:cs="Arial"/>
                <w:sz w:val="24"/>
                <w:szCs w:val="24"/>
              </w:rPr>
              <w:t>Carolyn Ploszynski</w:t>
            </w:r>
          </w:p>
        </w:tc>
        <w:tc>
          <w:tcPr>
            <w:tcW w:w="4394" w:type="dxa"/>
          </w:tcPr>
          <w:p w14:paraId="6BF5C23D" w14:textId="088E6FBB" w:rsidR="002947AA" w:rsidRPr="00F72486" w:rsidRDefault="00AC2B7E" w:rsidP="002947AA">
            <w:pPr>
              <w:rPr>
                <w:rFonts w:ascii="Arial" w:hAnsi="Arial" w:cs="Arial"/>
                <w:bCs/>
                <w:sz w:val="24"/>
                <w:szCs w:val="24"/>
              </w:rPr>
            </w:pPr>
            <w:r w:rsidRPr="00F72486">
              <w:rPr>
                <w:rFonts w:ascii="Arial" w:hAnsi="Arial" w:cs="Arial"/>
                <w:bCs/>
                <w:sz w:val="24"/>
                <w:szCs w:val="24"/>
              </w:rPr>
              <w:t>Why was no result supplied for the end of 2022/23?</w:t>
            </w:r>
          </w:p>
        </w:tc>
        <w:tc>
          <w:tcPr>
            <w:tcW w:w="4172" w:type="dxa"/>
          </w:tcPr>
          <w:p w14:paraId="48175E81" w14:textId="77777777" w:rsidR="002947AA" w:rsidRPr="00F72486" w:rsidRDefault="00712D1F" w:rsidP="002947AA">
            <w:pPr>
              <w:rPr>
                <w:rFonts w:ascii="Arial" w:hAnsi="Arial" w:cs="Arial"/>
                <w:sz w:val="24"/>
                <w:szCs w:val="24"/>
              </w:rPr>
            </w:pPr>
            <w:r w:rsidRPr="00F72486">
              <w:rPr>
                <w:rFonts w:ascii="Arial" w:hAnsi="Arial" w:cs="Arial"/>
                <w:sz w:val="24"/>
                <w:szCs w:val="24"/>
              </w:rPr>
              <w:t>120 at March 2023</w:t>
            </w:r>
          </w:p>
          <w:p w14:paraId="608D0298" w14:textId="77777777" w:rsidR="00712D1F" w:rsidRPr="00F72486" w:rsidRDefault="00712D1F" w:rsidP="002947AA">
            <w:pPr>
              <w:rPr>
                <w:rFonts w:ascii="Arial" w:hAnsi="Arial" w:cs="Arial"/>
                <w:sz w:val="24"/>
                <w:szCs w:val="24"/>
              </w:rPr>
            </w:pPr>
            <w:r w:rsidRPr="00F72486">
              <w:rPr>
                <w:rFonts w:ascii="Arial" w:hAnsi="Arial" w:cs="Arial"/>
                <w:sz w:val="24"/>
                <w:szCs w:val="24"/>
              </w:rPr>
              <w:t>145 at September 2023</w:t>
            </w:r>
          </w:p>
          <w:p w14:paraId="4E298569" w14:textId="43874487" w:rsidR="0097148A" w:rsidRPr="00F72486" w:rsidRDefault="0097148A" w:rsidP="002947AA">
            <w:pPr>
              <w:rPr>
                <w:rFonts w:ascii="Arial" w:hAnsi="Arial" w:cs="Arial"/>
                <w:sz w:val="24"/>
                <w:szCs w:val="24"/>
              </w:rPr>
            </w:pPr>
            <w:r w:rsidRPr="00F72486">
              <w:rPr>
                <w:rFonts w:ascii="Arial" w:hAnsi="Arial" w:cs="Arial"/>
                <w:sz w:val="24"/>
                <w:szCs w:val="24"/>
              </w:rPr>
              <w:t xml:space="preserve">These figures relate to the number of Oxford Living Wage employers </w:t>
            </w:r>
            <w:r w:rsidRPr="00F72486">
              <w:rPr>
                <w:rFonts w:ascii="Arial" w:hAnsi="Arial" w:cs="Arial"/>
                <w:sz w:val="24"/>
                <w:szCs w:val="24"/>
              </w:rPr>
              <w:lastRenderedPageBreak/>
              <w:t>only (</w:t>
            </w:r>
            <w:r w:rsidRPr="00F72486">
              <w:rPr>
                <w:rFonts w:ascii="Arial" w:hAnsi="Arial" w:cs="Arial"/>
                <w:i/>
                <w:iCs/>
                <w:sz w:val="24"/>
                <w:szCs w:val="24"/>
              </w:rPr>
              <w:t>see rationale in below response</w:t>
            </w:r>
            <w:r w:rsidRPr="00F72486">
              <w:rPr>
                <w:rFonts w:ascii="Arial" w:hAnsi="Arial" w:cs="Arial"/>
                <w:sz w:val="24"/>
                <w:szCs w:val="24"/>
              </w:rPr>
              <w:t>).</w:t>
            </w:r>
          </w:p>
        </w:tc>
      </w:tr>
      <w:tr w:rsidR="00AC2B7E" w:rsidRPr="00F72486" w14:paraId="6DDF60E6" w14:textId="77777777" w:rsidTr="007A3EEA">
        <w:tc>
          <w:tcPr>
            <w:tcW w:w="1129" w:type="dxa"/>
          </w:tcPr>
          <w:p w14:paraId="3A92F476" w14:textId="77777777" w:rsidR="00AC2B7E" w:rsidRPr="00F72486" w:rsidRDefault="00AC2B7E" w:rsidP="002947AA">
            <w:pPr>
              <w:rPr>
                <w:rFonts w:ascii="Arial" w:hAnsi="Arial" w:cs="Arial"/>
                <w:bCs/>
                <w:sz w:val="24"/>
                <w:szCs w:val="24"/>
              </w:rPr>
            </w:pPr>
          </w:p>
        </w:tc>
        <w:tc>
          <w:tcPr>
            <w:tcW w:w="2835" w:type="dxa"/>
          </w:tcPr>
          <w:p w14:paraId="32B93553" w14:textId="77777777" w:rsidR="00AC2B7E" w:rsidRPr="00F72486" w:rsidRDefault="00AC2B7E" w:rsidP="002947AA">
            <w:pPr>
              <w:rPr>
                <w:rFonts w:ascii="Arial" w:eastAsia="Times New Roman" w:hAnsi="Arial" w:cs="Arial"/>
                <w:sz w:val="24"/>
                <w:szCs w:val="24"/>
                <w:lang w:eastAsia="en-GB"/>
              </w:rPr>
            </w:pPr>
          </w:p>
        </w:tc>
        <w:tc>
          <w:tcPr>
            <w:tcW w:w="1418" w:type="dxa"/>
          </w:tcPr>
          <w:p w14:paraId="063F7E8F" w14:textId="77777777" w:rsidR="00AC2B7E" w:rsidRPr="00F72486" w:rsidRDefault="00AC2B7E" w:rsidP="002947AA">
            <w:pPr>
              <w:rPr>
                <w:rFonts w:ascii="Arial" w:hAnsi="Arial" w:cs="Arial"/>
                <w:sz w:val="24"/>
                <w:szCs w:val="24"/>
              </w:rPr>
            </w:pPr>
          </w:p>
        </w:tc>
        <w:tc>
          <w:tcPr>
            <w:tcW w:w="4394" w:type="dxa"/>
          </w:tcPr>
          <w:p w14:paraId="4CE6D96A" w14:textId="23B1A667" w:rsidR="00AC2B7E" w:rsidRPr="00F72486" w:rsidRDefault="00AC2B7E" w:rsidP="002947AA">
            <w:pPr>
              <w:rPr>
                <w:rFonts w:ascii="Arial" w:hAnsi="Arial" w:cs="Arial"/>
                <w:bCs/>
                <w:sz w:val="24"/>
                <w:szCs w:val="24"/>
              </w:rPr>
            </w:pPr>
            <w:r w:rsidRPr="00F72486">
              <w:rPr>
                <w:rFonts w:ascii="Arial" w:hAnsi="Arial" w:cs="Arial"/>
                <w:bCs/>
                <w:sz w:val="24"/>
                <w:szCs w:val="24"/>
              </w:rPr>
              <w:t>What is the reasoning behind this KPI being under review?</w:t>
            </w:r>
          </w:p>
        </w:tc>
        <w:tc>
          <w:tcPr>
            <w:tcW w:w="4172" w:type="dxa"/>
          </w:tcPr>
          <w:p w14:paraId="2918337E" w14:textId="77777777" w:rsidR="00AC2B7E" w:rsidRPr="00F72486" w:rsidRDefault="00712D1F" w:rsidP="00712D1F">
            <w:pPr>
              <w:spacing w:after="160" w:line="259" w:lineRule="auto"/>
              <w:rPr>
                <w:rFonts w:ascii="Arial" w:eastAsia="Times New Roman" w:hAnsi="Arial" w:cs="Arial"/>
                <w:color w:val="000000"/>
                <w:sz w:val="24"/>
                <w:szCs w:val="24"/>
              </w:rPr>
            </w:pPr>
            <w:bookmarkStart w:id="1" w:name="_Hlk145587725"/>
            <w:r w:rsidRPr="00F72486">
              <w:rPr>
                <w:rStyle w:val="contentpasted0"/>
                <w:rFonts w:ascii="Arial" w:eastAsia="Times New Roman" w:hAnsi="Arial" w:cs="Arial"/>
                <w:color w:val="000000"/>
                <w:sz w:val="24"/>
                <w:szCs w:val="24"/>
                <w:shd w:val="clear" w:color="auto" w:fill="FFFFFF"/>
              </w:rPr>
              <w:t>The reason t</w:t>
            </w:r>
            <w:r w:rsidRPr="00F72486">
              <w:rPr>
                <w:rStyle w:val="contentpasted0"/>
                <w:rFonts w:ascii="Arial" w:hAnsi="Arial" w:cs="Arial"/>
                <w:sz w:val="24"/>
                <w:szCs w:val="24"/>
                <w:shd w:val="clear" w:color="auto" w:fill="FFFFFF"/>
              </w:rPr>
              <w:t>his KPI</w:t>
            </w:r>
            <w:r w:rsidRPr="00F72486">
              <w:rPr>
                <w:rStyle w:val="contentpasted0"/>
                <w:rFonts w:ascii="Arial" w:eastAsia="Times New Roman" w:hAnsi="Arial" w:cs="Arial"/>
                <w:color w:val="000000"/>
                <w:sz w:val="24"/>
                <w:szCs w:val="24"/>
                <w:shd w:val="clear" w:color="auto" w:fill="FFFFFF"/>
              </w:rPr>
              <w:t xml:space="preserve"> was being reviewed is that t</w:t>
            </w:r>
            <w:r w:rsidRPr="00F72486">
              <w:rPr>
                <w:rStyle w:val="contentpasted0"/>
                <w:rFonts w:ascii="Arial" w:hAnsi="Arial" w:cs="Arial"/>
                <w:sz w:val="24"/>
                <w:szCs w:val="24"/>
                <w:shd w:val="clear" w:color="auto" w:fill="FFFFFF"/>
              </w:rPr>
              <w:t>he Council</w:t>
            </w:r>
            <w:r w:rsidRPr="00F72486">
              <w:rPr>
                <w:rStyle w:val="contentpasted0"/>
                <w:rFonts w:ascii="Arial" w:eastAsia="Times New Roman" w:hAnsi="Arial" w:cs="Arial"/>
                <w:color w:val="000000"/>
                <w:sz w:val="24"/>
                <w:szCs w:val="24"/>
                <w:shd w:val="clear" w:color="auto" w:fill="FFFFFF"/>
              </w:rPr>
              <w:t xml:space="preserve"> doe</w:t>
            </w:r>
            <w:r w:rsidRPr="00F72486">
              <w:rPr>
                <w:rStyle w:val="contentpasted0"/>
                <w:rFonts w:ascii="Arial" w:hAnsi="Arial" w:cs="Arial"/>
                <w:sz w:val="24"/>
                <w:szCs w:val="24"/>
                <w:shd w:val="clear" w:color="auto" w:fill="FFFFFF"/>
              </w:rPr>
              <w:t>s</w:t>
            </w:r>
            <w:r w:rsidRPr="00F72486">
              <w:rPr>
                <w:rStyle w:val="contentpasted0"/>
                <w:rFonts w:ascii="Arial" w:eastAsia="Times New Roman" w:hAnsi="Arial" w:cs="Arial"/>
                <w:color w:val="000000"/>
                <w:sz w:val="24"/>
                <w:szCs w:val="24"/>
                <w:shd w:val="clear" w:color="auto" w:fill="FFFFFF"/>
              </w:rPr>
              <w:t xml:space="preserve"> not have data on employees (only employers) currently and so o</w:t>
            </w:r>
            <w:r w:rsidRPr="00F72486">
              <w:rPr>
                <w:rStyle w:val="contentpasted0"/>
                <w:rFonts w:ascii="Arial" w:hAnsi="Arial" w:cs="Arial"/>
                <w:sz w:val="24"/>
                <w:szCs w:val="24"/>
                <w:shd w:val="clear" w:color="auto" w:fill="FFFFFF"/>
              </w:rPr>
              <w:t>fficers</w:t>
            </w:r>
            <w:r w:rsidRPr="00F72486">
              <w:rPr>
                <w:rFonts w:ascii="Arial" w:eastAsia="Times New Roman" w:hAnsi="Arial" w:cs="Arial"/>
                <w:color w:val="000000"/>
                <w:sz w:val="24"/>
                <w:szCs w:val="24"/>
              </w:rPr>
              <w:t xml:space="preserve"> were exploring various ways to provide a proxy measure for the number of employees, but as this varies from each individual employee and the Council doesn’t currently capture that data for them individually, it is not feasible to provide exact figures at this stage for number of employees as well as employers. </w:t>
            </w:r>
          </w:p>
          <w:p w14:paraId="4F2F8A74" w14:textId="3D65D3B3" w:rsidR="00712D1F" w:rsidRPr="00F72486" w:rsidRDefault="00712D1F" w:rsidP="00712D1F">
            <w:pPr>
              <w:spacing w:after="160" w:line="259" w:lineRule="auto"/>
              <w:rPr>
                <w:rFonts w:ascii="Arial" w:eastAsia="Times New Roman" w:hAnsi="Arial" w:cs="Arial"/>
                <w:color w:val="000000"/>
                <w:sz w:val="24"/>
                <w:szCs w:val="24"/>
              </w:rPr>
            </w:pPr>
            <w:r w:rsidRPr="00F72486">
              <w:rPr>
                <w:rFonts w:ascii="Arial" w:eastAsia="Times New Roman" w:hAnsi="Arial" w:cs="Arial"/>
                <w:color w:val="000000"/>
                <w:sz w:val="24"/>
                <w:szCs w:val="24"/>
              </w:rPr>
              <w:t>It is suggested that this KPI be adjusted to reflect only the number of Oxford Living Wage employers, as this is the data that is held by the Council.</w:t>
            </w:r>
            <w:bookmarkEnd w:id="1"/>
          </w:p>
        </w:tc>
      </w:tr>
      <w:tr w:rsidR="002947AA" w:rsidRPr="00F72486" w14:paraId="6AC956D1" w14:textId="77777777" w:rsidTr="00603C31">
        <w:tc>
          <w:tcPr>
            <w:tcW w:w="1129" w:type="dxa"/>
            <w:shd w:val="clear" w:color="auto" w:fill="F2F2F2" w:themeFill="background1" w:themeFillShade="F2"/>
          </w:tcPr>
          <w:p w14:paraId="057D46AA" w14:textId="7EF09A08" w:rsidR="002947AA" w:rsidRPr="00F72486" w:rsidRDefault="002947AA" w:rsidP="002947AA">
            <w:pPr>
              <w:rPr>
                <w:rFonts w:ascii="Arial" w:hAnsi="Arial" w:cs="Arial"/>
                <w:bCs/>
                <w:sz w:val="24"/>
                <w:szCs w:val="24"/>
              </w:rPr>
            </w:pPr>
            <w:r w:rsidRPr="00F72486">
              <w:rPr>
                <w:rFonts w:ascii="Arial" w:hAnsi="Arial" w:cs="Arial"/>
                <w:bCs/>
                <w:sz w:val="24"/>
                <w:szCs w:val="24"/>
              </w:rPr>
              <w:t>PSC002</w:t>
            </w:r>
          </w:p>
        </w:tc>
        <w:tc>
          <w:tcPr>
            <w:tcW w:w="2835" w:type="dxa"/>
            <w:shd w:val="clear" w:color="auto" w:fill="F2F2F2" w:themeFill="background1" w:themeFillShade="F2"/>
          </w:tcPr>
          <w:p w14:paraId="320C91B8" w14:textId="678F7548"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 xml:space="preserve">Provide a quarterly update on the </w:t>
            </w:r>
            <w:proofErr w:type="gramStart"/>
            <w:r w:rsidRPr="00F72486">
              <w:rPr>
                <w:rFonts w:ascii="Arial" w:eastAsia="Times New Roman" w:hAnsi="Arial" w:cs="Arial"/>
                <w:sz w:val="24"/>
                <w:szCs w:val="24"/>
                <w:lang w:eastAsia="en-GB"/>
              </w:rPr>
              <w:t>five year</w:t>
            </w:r>
            <w:proofErr w:type="gramEnd"/>
            <w:r w:rsidRPr="00F72486">
              <w:rPr>
                <w:rFonts w:ascii="Arial" w:eastAsia="Times New Roman" w:hAnsi="Arial" w:cs="Arial"/>
                <w:sz w:val="24"/>
                <w:szCs w:val="24"/>
                <w:lang w:eastAsia="en-GB"/>
              </w:rPr>
              <w:t xml:space="preserve"> housing delivery supply</w:t>
            </w:r>
          </w:p>
        </w:tc>
        <w:tc>
          <w:tcPr>
            <w:tcW w:w="1418" w:type="dxa"/>
            <w:shd w:val="clear" w:color="auto" w:fill="F2F2F2" w:themeFill="background1" w:themeFillShade="F2"/>
          </w:tcPr>
          <w:p w14:paraId="273F0EE5" w14:textId="3F3EAAD7" w:rsidR="002947AA" w:rsidRPr="00F72486" w:rsidRDefault="002947AA" w:rsidP="002947AA">
            <w:pPr>
              <w:rPr>
                <w:rFonts w:ascii="Arial" w:hAnsi="Arial" w:cs="Arial"/>
                <w:sz w:val="24"/>
                <w:szCs w:val="24"/>
              </w:rPr>
            </w:pPr>
            <w:r w:rsidRPr="00F72486">
              <w:rPr>
                <w:rFonts w:ascii="Arial" w:hAnsi="Arial" w:cs="Arial"/>
                <w:sz w:val="24"/>
                <w:szCs w:val="24"/>
              </w:rPr>
              <w:t>Rachel Williams</w:t>
            </w:r>
          </w:p>
        </w:tc>
        <w:tc>
          <w:tcPr>
            <w:tcW w:w="4394" w:type="dxa"/>
            <w:shd w:val="clear" w:color="auto" w:fill="F2F2F2" w:themeFill="background1" w:themeFillShade="F2"/>
          </w:tcPr>
          <w:p w14:paraId="392B32DF" w14:textId="3561B43E" w:rsidR="002947AA" w:rsidRPr="00F72486" w:rsidRDefault="00AC2B7E" w:rsidP="002947AA">
            <w:pPr>
              <w:rPr>
                <w:rFonts w:ascii="Arial" w:hAnsi="Arial" w:cs="Arial"/>
                <w:bCs/>
                <w:sz w:val="24"/>
                <w:szCs w:val="24"/>
              </w:rPr>
            </w:pPr>
            <w:r w:rsidRPr="00F72486">
              <w:rPr>
                <w:rFonts w:ascii="Arial" w:hAnsi="Arial" w:cs="Arial"/>
                <w:bCs/>
                <w:sz w:val="24"/>
                <w:szCs w:val="24"/>
              </w:rPr>
              <w:t>Why was no data provided for Q1 2023/24?</w:t>
            </w:r>
          </w:p>
        </w:tc>
        <w:tc>
          <w:tcPr>
            <w:tcW w:w="4172" w:type="dxa"/>
            <w:shd w:val="clear" w:color="auto" w:fill="F2F2F2" w:themeFill="background1" w:themeFillShade="F2"/>
          </w:tcPr>
          <w:p w14:paraId="1F57024A" w14:textId="0E031E25" w:rsidR="002947AA" w:rsidRPr="00F72486" w:rsidRDefault="00E05D58" w:rsidP="002947AA">
            <w:pPr>
              <w:rPr>
                <w:rFonts w:ascii="Arial" w:hAnsi="Arial" w:cs="Arial"/>
                <w:sz w:val="24"/>
                <w:szCs w:val="24"/>
              </w:rPr>
            </w:pPr>
            <w:bookmarkStart w:id="2" w:name="_Hlk145412151"/>
            <w:r w:rsidRPr="00F72486">
              <w:rPr>
                <w:rFonts w:ascii="Arial" w:hAnsi="Arial" w:cs="Arial"/>
                <w:sz w:val="24"/>
                <w:szCs w:val="24"/>
              </w:rPr>
              <w:t xml:space="preserve">This measure is reported annually in the Council’s Authority Monitoring Report, which is considered by Cabinet each December and published on the Council’s website </w:t>
            </w:r>
            <w:hyperlink r:id="rId4" w:history="1">
              <w:r w:rsidRPr="00F72486">
                <w:rPr>
                  <w:rStyle w:val="Hyperlink"/>
                  <w:rFonts w:ascii="Arial" w:hAnsi="Arial" w:cs="Arial"/>
                  <w:sz w:val="24"/>
                  <w:szCs w:val="24"/>
                </w:rPr>
                <w:t>here</w:t>
              </w:r>
            </w:hyperlink>
            <w:r w:rsidRPr="00F72486">
              <w:rPr>
                <w:rFonts w:ascii="Arial" w:hAnsi="Arial" w:cs="Arial"/>
                <w:sz w:val="24"/>
                <w:szCs w:val="24"/>
              </w:rPr>
              <w:t xml:space="preserve">. In addition, the figure is calculated every time the Council </w:t>
            </w:r>
            <w:r w:rsidRPr="00F72486">
              <w:rPr>
                <w:rFonts w:ascii="Arial" w:hAnsi="Arial" w:cs="Arial"/>
                <w:sz w:val="24"/>
                <w:szCs w:val="24"/>
              </w:rPr>
              <w:lastRenderedPageBreak/>
              <w:t>takes a Local Plan to public examination.</w:t>
            </w:r>
          </w:p>
          <w:p w14:paraId="28A83B19" w14:textId="459F4DA9" w:rsidR="00E05D58" w:rsidRPr="00F72486" w:rsidRDefault="00E05D58" w:rsidP="002947AA">
            <w:pPr>
              <w:rPr>
                <w:rFonts w:ascii="Arial" w:hAnsi="Arial" w:cs="Arial"/>
                <w:sz w:val="24"/>
                <w:szCs w:val="24"/>
              </w:rPr>
            </w:pPr>
            <w:r w:rsidRPr="00F72486">
              <w:rPr>
                <w:rFonts w:ascii="Arial" w:hAnsi="Arial" w:cs="Arial"/>
                <w:sz w:val="24"/>
                <w:szCs w:val="24"/>
              </w:rPr>
              <w:t xml:space="preserve">Producing the figure is resource-intensive – involving a lot of desktop and onsite research and the figure is very complex to calculate, therefore it cannot be provided </w:t>
            </w:r>
            <w:r w:rsidR="00E71B77" w:rsidRPr="00F72486">
              <w:rPr>
                <w:rFonts w:ascii="Arial" w:hAnsi="Arial" w:cs="Arial"/>
                <w:sz w:val="24"/>
                <w:szCs w:val="24"/>
              </w:rPr>
              <w:t>more frequently than stated above.</w:t>
            </w:r>
          </w:p>
          <w:p w14:paraId="494B5A05" w14:textId="3EAD00C3" w:rsidR="00E05D58" w:rsidRPr="00F72486" w:rsidRDefault="00E05D58" w:rsidP="002947AA">
            <w:pPr>
              <w:rPr>
                <w:rFonts w:ascii="Arial" w:hAnsi="Arial" w:cs="Arial"/>
                <w:sz w:val="24"/>
                <w:szCs w:val="24"/>
              </w:rPr>
            </w:pPr>
            <w:r w:rsidRPr="00F72486">
              <w:rPr>
                <w:rFonts w:ascii="Arial" w:hAnsi="Arial" w:cs="Arial"/>
                <w:sz w:val="24"/>
                <w:szCs w:val="24"/>
              </w:rPr>
              <w:t xml:space="preserve">This process is in line with Government guidance and what other local authorities do. </w:t>
            </w:r>
            <w:bookmarkEnd w:id="2"/>
          </w:p>
        </w:tc>
      </w:tr>
      <w:tr w:rsidR="002947AA" w:rsidRPr="00F72486" w14:paraId="7881C6EB" w14:textId="77777777" w:rsidTr="007A3EEA">
        <w:tc>
          <w:tcPr>
            <w:tcW w:w="1129" w:type="dxa"/>
          </w:tcPr>
          <w:p w14:paraId="1C031065" w14:textId="43027AC6" w:rsidR="002947AA" w:rsidRPr="00F72486" w:rsidRDefault="002947AA" w:rsidP="002947AA">
            <w:pPr>
              <w:rPr>
                <w:rFonts w:ascii="Arial" w:hAnsi="Arial" w:cs="Arial"/>
                <w:bCs/>
                <w:sz w:val="24"/>
                <w:szCs w:val="24"/>
              </w:rPr>
            </w:pPr>
            <w:r w:rsidRPr="00F72486">
              <w:rPr>
                <w:rFonts w:ascii="Arial" w:hAnsi="Arial" w:cs="Arial"/>
                <w:bCs/>
                <w:sz w:val="24"/>
                <w:szCs w:val="24"/>
              </w:rPr>
              <w:lastRenderedPageBreak/>
              <w:t>CSC012</w:t>
            </w:r>
          </w:p>
        </w:tc>
        <w:tc>
          <w:tcPr>
            <w:tcW w:w="2835" w:type="dxa"/>
          </w:tcPr>
          <w:p w14:paraId="3C98A7D1" w14:textId="72407B4A"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Physically active adults</w:t>
            </w:r>
          </w:p>
        </w:tc>
        <w:tc>
          <w:tcPr>
            <w:tcW w:w="1418" w:type="dxa"/>
          </w:tcPr>
          <w:p w14:paraId="476ACE73" w14:textId="6D3E3FAC" w:rsidR="002947AA" w:rsidRPr="00F72486" w:rsidRDefault="002947AA" w:rsidP="002947AA">
            <w:pPr>
              <w:rPr>
                <w:rFonts w:ascii="Arial" w:hAnsi="Arial" w:cs="Arial"/>
                <w:sz w:val="24"/>
                <w:szCs w:val="24"/>
              </w:rPr>
            </w:pPr>
            <w:r w:rsidRPr="00F72486">
              <w:rPr>
                <w:rFonts w:ascii="Arial" w:hAnsi="Arial" w:cs="Arial"/>
                <w:sz w:val="24"/>
                <w:szCs w:val="24"/>
              </w:rPr>
              <w:t>Ian Brooke</w:t>
            </w:r>
          </w:p>
        </w:tc>
        <w:tc>
          <w:tcPr>
            <w:tcW w:w="4394" w:type="dxa"/>
          </w:tcPr>
          <w:p w14:paraId="677EDD3A" w14:textId="0C9AFD4B" w:rsidR="002947AA" w:rsidRPr="00F72486" w:rsidRDefault="00AC2B7E" w:rsidP="002947AA">
            <w:pPr>
              <w:rPr>
                <w:rFonts w:ascii="Arial" w:hAnsi="Arial" w:cs="Arial"/>
                <w:bCs/>
                <w:sz w:val="24"/>
                <w:szCs w:val="24"/>
              </w:rPr>
            </w:pPr>
            <w:r w:rsidRPr="00F72486">
              <w:rPr>
                <w:rFonts w:ascii="Arial" w:hAnsi="Arial" w:cs="Arial"/>
                <w:sz w:val="24"/>
                <w:szCs w:val="24"/>
              </w:rPr>
              <w:t>Is there any KPI which records number of users of our leisure centres instead of this?</w:t>
            </w:r>
          </w:p>
        </w:tc>
        <w:tc>
          <w:tcPr>
            <w:tcW w:w="4172" w:type="dxa"/>
          </w:tcPr>
          <w:p w14:paraId="45AE60F8" w14:textId="6B96CAA2" w:rsidR="00366B0D" w:rsidRPr="00F72486" w:rsidRDefault="00366B0D" w:rsidP="00366B0D">
            <w:pPr>
              <w:rPr>
                <w:rFonts w:ascii="Arial" w:hAnsi="Arial" w:cs="Arial"/>
                <w:sz w:val="24"/>
                <w:szCs w:val="24"/>
              </w:rPr>
            </w:pPr>
            <w:r w:rsidRPr="00F72486">
              <w:rPr>
                <w:rFonts w:ascii="Arial" w:hAnsi="Arial" w:cs="Arial"/>
                <w:sz w:val="24"/>
                <w:szCs w:val="24"/>
              </w:rPr>
              <w:t xml:space="preserve">There are absolutely KPIs which we could use relating to leisure centre use, but the benefit of the Active Lives results is that they </w:t>
            </w:r>
            <w:proofErr w:type="gramStart"/>
            <w:r w:rsidRPr="00F72486">
              <w:rPr>
                <w:rFonts w:ascii="Arial" w:hAnsi="Arial" w:cs="Arial"/>
                <w:sz w:val="24"/>
                <w:szCs w:val="24"/>
              </w:rPr>
              <w:t>take into account</w:t>
            </w:r>
            <w:proofErr w:type="gramEnd"/>
            <w:r w:rsidRPr="00F72486">
              <w:rPr>
                <w:rFonts w:ascii="Arial" w:hAnsi="Arial" w:cs="Arial"/>
                <w:sz w:val="24"/>
                <w:szCs w:val="24"/>
              </w:rPr>
              <w:t xml:space="preserve"> more than just people that are using leisure centres. For Active Lives, Sport England send out lifestyle questionnaires to a sample of randomly selected households across England each year - on a local level this equates to circa 500 households per district (more for some areas) and spanning all areas of deprivation based on Index of Multiple Deprivation (IMD) data. Although this is a snapshot of society it does allow us to gain an overview of what physical activity is being done generally, across the board - in parks and green spaces, </w:t>
            </w:r>
            <w:r w:rsidRPr="00F72486">
              <w:rPr>
                <w:rFonts w:ascii="Arial" w:hAnsi="Arial" w:cs="Arial"/>
                <w:sz w:val="24"/>
                <w:szCs w:val="24"/>
              </w:rPr>
              <w:lastRenderedPageBreak/>
              <w:t>community centres, at home and of course in traditional leisure settings. </w:t>
            </w:r>
          </w:p>
          <w:p w14:paraId="0ED0F056" w14:textId="77777777" w:rsidR="002947AA" w:rsidRPr="00F72486" w:rsidRDefault="00366B0D" w:rsidP="00366B0D">
            <w:pPr>
              <w:rPr>
                <w:rFonts w:ascii="Arial" w:hAnsi="Arial" w:cs="Arial"/>
                <w:sz w:val="24"/>
                <w:szCs w:val="24"/>
              </w:rPr>
            </w:pPr>
            <w:r w:rsidRPr="00F72486">
              <w:rPr>
                <w:rFonts w:ascii="Arial" w:hAnsi="Arial" w:cs="Arial"/>
                <w:sz w:val="24"/>
                <w:szCs w:val="24"/>
              </w:rPr>
              <w:t xml:space="preserve">The most recent data from Active Lives for Oxford City shows that 74.4% people are reporting as active (at least 150 minutes physical activity a week) with a further 11.2% reporting as </w:t>
            </w:r>
            <w:proofErr w:type="gramStart"/>
            <w:r w:rsidRPr="00F72486">
              <w:rPr>
                <w:rFonts w:ascii="Arial" w:hAnsi="Arial" w:cs="Arial"/>
                <w:sz w:val="24"/>
                <w:szCs w:val="24"/>
              </w:rPr>
              <w:t>fairly active</w:t>
            </w:r>
            <w:proofErr w:type="gramEnd"/>
            <w:r w:rsidRPr="00F72486">
              <w:rPr>
                <w:rFonts w:ascii="Arial" w:hAnsi="Arial" w:cs="Arial"/>
                <w:sz w:val="24"/>
                <w:szCs w:val="24"/>
              </w:rPr>
              <w:t xml:space="preserve"> (30-149 minutes physical activity a week). </w:t>
            </w:r>
          </w:p>
          <w:p w14:paraId="08F9F6E8" w14:textId="3F3B5997" w:rsidR="00366B0D" w:rsidRPr="00F72486" w:rsidRDefault="00366B0D" w:rsidP="00366B0D">
            <w:pPr>
              <w:spacing w:before="240"/>
              <w:rPr>
                <w:rFonts w:ascii="Arial" w:hAnsi="Arial" w:cs="Arial"/>
                <w:sz w:val="24"/>
                <w:szCs w:val="24"/>
              </w:rPr>
            </w:pPr>
            <w:r w:rsidRPr="00F72486">
              <w:rPr>
                <w:rFonts w:ascii="Arial" w:hAnsi="Arial" w:cs="Arial"/>
                <w:sz w:val="24"/>
                <w:szCs w:val="24"/>
              </w:rPr>
              <w:t xml:space="preserve">More information can be viewed </w:t>
            </w:r>
            <w:hyperlink r:id="rId5" w:history="1">
              <w:r w:rsidRPr="00F72486">
                <w:rPr>
                  <w:rStyle w:val="Hyperlink"/>
                  <w:rFonts w:ascii="Arial" w:hAnsi="Arial" w:cs="Arial"/>
                  <w:sz w:val="24"/>
                  <w:szCs w:val="24"/>
                </w:rPr>
                <w:t>here</w:t>
              </w:r>
            </w:hyperlink>
            <w:r w:rsidRPr="00F72486">
              <w:rPr>
                <w:rFonts w:ascii="Arial" w:hAnsi="Arial" w:cs="Arial"/>
                <w:sz w:val="24"/>
                <w:szCs w:val="24"/>
              </w:rPr>
              <w:t>.</w:t>
            </w:r>
          </w:p>
        </w:tc>
      </w:tr>
      <w:tr w:rsidR="002947AA" w:rsidRPr="00F72486" w14:paraId="5B3E813E" w14:textId="77777777" w:rsidTr="00603C31">
        <w:tc>
          <w:tcPr>
            <w:tcW w:w="1129" w:type="dxa"/>
            <w:shd w:val="clear" w:color="auto" w:fill="F2F2F2" w:themeFill="background1" w:themeFillShade="F2"/>
          </w:tcPr>
          <w:p w14:paraId="53BFD2C6" w14:textId="1414499A" w:rsidR="002947AA" w:rsidRPr="00F72486" w:rsidRDefault="002947AA" w:rsidP="002947AA">
            <w:pPr>
              <w:rPr>
                <w:rFonts w:ascii="Arial" w:hAnsi="Arial" w:cs="Arial"/>
                <w:bCs/>
                <w:sz w:val="24"/>
                <w:szCs w:val="24"/>
              </w:rPr>
            </w:pPr>
            <w:r w:rsidRPr="00F72486">
              <w:rPr>
                <w:rFonts w:ascii="Arial" w:hAnsi="Arial" w:cs="Arial"/>
                <w:bCs/>
                <w:sz w:val="24"/>
                <w:szCs w:val="24"/>
              </w:rPr>
              <w:lastRenderedPageBreak/>
              <w:t>RS005</w:t>
            </w:r>
          </w:p>
        </w:tc>
        <w:tc>
          <w:tcPr>
            <w:tcW w:w="2835" w:type="dxa"/>
            <w:shd w:val="clear" w:color="auto" w:fill="F2F2F2" w:themeFill="background1" w:themeFillShade="F2"/>
          </w:tcPr>
          <w:p w14:paraId="0105E906" w14:textId="0BC69410"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Number of cases in the private rented sector, where homelessness prevented following intervention by the Tenancy Relations Officer</w:t>
            </w:r>
          </w:p>
        </w:tc>
        <w:tc>
          <w:tcPr>
            <w:tcW w:w="1418" w:type="dxa"/>
            <w:shd w:val="clear" w:color="auto" w:fill="F2F2F2" w:themeFill="background1" w:themeFillShade="F2"/>
          </w:tcPr>
          <w:p w14:paraId="5AC93EA7" w14:textId="44F50860" w:rsidR="002947AA" w:rsidRPr="00F72486" w:rsidRDefault="002947AA" w:rsidP="002947AA">
            <w:pPr>
              <w:rPr>
                <w:rFonts w:ascii="Arial" w:hAnsi="Arial" w:cs="Arial"/>
                <w:sz w:val="24"/>
                <w:szCs w:val="24"/>
              </w:rPr>
            </w:pPr>
            <w:r w:rsidRPr="00F72486">
              <w:rPr>
                <w:rFonts w:ascii="Arial" w:hAnsi="Arial" w:cs="Arial"/>
                <w:sz w:val="24"/>
                <w:szCs w:val="24"/>
              </w:rPr>
              <w:t>Ian Wright</w:t>
            </w:r>
          </w:p>
        </w:tc>
        <w:tc>
          <w:tcPr>
            <w:tcW w:w="4394" w:type="dxa"/>
            <w:shd w:val="clear" w:color="auto" w:fill="F2F2F2" w:themeFill="background1" w:themeFillShade="F2"/>
          </w:tcPr>
          <w:p w14:paraId="757584B4" w14:textId="441E7F5F" w:rsidR="002947AA" w:rsidRPr="00F72486" w:rsidRDefault="00AC2B7E" w:rsidP="002947AA">
            <w:pPr>
              <w:rPr>
                <w:rFonts w:ascii="Arial" w:hAnsi="Arial" w:cs="Arial"/>
                <w:bCs/>
                <w:sz w:val="24"/>
                <w:szCs w:val="24"/>
              </w:rPr>
            </w:pPr>
            <w:r w:rsidRPr="00F72486">
              <w:rPr>
                <w:rFonts w:ascii="Arial" w:hAnsi="Arial" w:cs="Arial"/>
                <w:bCs/>
                <w:sz w:val="24"/>
                <w:szCs w:val="24"/>
              </w:rPr>
              <w:t>The target for 2022/23 was exceeded – is this anything to do with the implementation of Selective Licensing?</w:t>
            </w:r>
          </w:p>
        </w:tc>
        <w:tc>
          <w:tcPr>
            <w:tcW w:w="4172" w:type="dxa"/>
            <w:shd w:val="clear" w:color="auto" w:fill="F2F2F2" w:themeFill="background1" w:themeFillShade="F2"/>
          </w:tcPr>
          <w:p w14:paraId="0152F002" w14:textId="77777777" w:rsidR="002947AA" w:rsidRPr="00F72486" w:rsidRDefault="00775447" w:rsidP="00775447">
            <w:pPr>
              <w:rPr>
                <w:rFonts w:ascii="Arial" w:hAnsi="Arial" w:cs="Arial"/>
                <w:sz w:val="24"/>
                <w:szCs w:val="24"/>
              </w:rPr>
            </w:pPr>
            <w:r w:rsidRPr="00F72486">
              <w:rPr>
                <w:rFonts w:ascii="Arial" w:hAnsi="Arial" w:cs="Arial"/>
                <w:sz w:val="24"/>
                <w:szCs w:val="24"/>
              </w:rPr>
              <w:t>There has been a 13% increase in T</w:t>
            </w:r>
            <w:r w:rsidR="00FD1AA0" w:rsidRPr="00F72486">
              <w:rPr>
                <w:rFonts w:ascii="Arial" w:hAnsi="Arial" w:cs="Arial"/>
                <w:sz w:val="24"/>
                <w:szCs w:val="24"/>
              </w:rPr>
              <w:t xml:space="preserve">enancy </w:t>
            </w:r>
            <w:r w:rsidRPr="00F72486">
              <w:rPr>
                <w:rFonts w:ascii="Arial" w:hAnsi="Arial" w:cs="Arial"/>
                <w:sz w:val="24"/>
                <w:szCs w:val="24"/>
              </w:rPr>
              <w:t>R</w:t>
            </w:r>
            <w:r w:rsidR="00FD1AA0" w:rsidRPr="00F72486">
              <w:rPr>
                <w:rFonts w:ascii="Arial" w:hAnsi="Arial" w:cs="Arial"/>
                <w:sz w:val="24"/>
                <w:szCs w:val="24"/>
              </w:rPr>
              <w:t xml:space="preserve">elations </w:t>
            </w:r>
            <w:r w:rsidRPr="00F72486">
              <w:rPr>
                <w:rFonts w:ascii="Arial" w:hAnsi="Arial" w:cs="Arial"/>
                <w:sz w:val="24"/>
                <w:szCs w:val="24"/>
              </w:rPr>
              <w:t>O</w:t>
            </w:r>
            <w:r w:rsidR="00FD1AA0" w:rsidRPr="00F72486">
              <w:rPr>
                <w:rFonts w:ascii="Arial" w:hAnsi="Arial" w:cs="Arial"/>
                <w:sz w:val="24"/>
                <w:szCs w:val="24"/>
              </w:rPr>
              <w:t>fficer (TRO)*</w:t>
            </w:r>
            <w:r w:rsidRPr="00F72486">
              <w:rPr>
                <w:rFonts w:ascii="Arial" w:hAnsi="Arial" w:cs="Arial"/>
                <w:sz w:val="24"/>
                <w:szCs w:val="24"/>
              </w:rPr>
              <w:t xml:space="preserve"> service requests following the introduction of Selective Licensing – therefore the number of homelessness preventions has increased as the TRO advises both tenants and landlords of the legislation and their rights and obligations. This usually ensures that a tenant does not lose their home without the landlord following the correct procedure and the law.    </w:t>
            </w:r>
          </w:p>
          <w:p w14:paraId="3870D23F" w14:textId="45FE91FA" w:rsidR="00FD1AA0" w:rsidRPr="00F72486" w:rsidRDefault="00FD1AA0" w:rsidP="00775447">
            <w:pPr>
              <w:rPr>
                <w:rFonts w:ascii="Arial" w:hAnsi="Arial" w:cs="Arial"/>
                <w:i/>
                <w:iCs/>
                <w:sz w:val="24"/>
                <w:szCs w:val="24"/>
              </w:rPr>
            </w:pPr>
            <w:r w:rsidRPr="00F72486">
              <w:rPr>
                <w:rFonts w:ascii="Arial" w:hAnsi="Arial" w:cs="Arial"/>
                <w:i/>
                <w:iCs/>
                <w:sz w:val="24"/>
                <w:szCs w:val="24"/>
              </w:rPr>
              <w:t>*The Council has 1 TRO, who deals with illegal evictions and threatened evictions in private rented properties.</w:t>
            </w:r>
          </w:p>
        </w:tc>
      </w:tr>
      <w:tr w:rsidR="00AC2B7E" w:rsidRPr="00F72486" w14:paraId="3EDF8294" w14:textId="77777777" w:rsidTr="00603C31">
        <w:tc>
          <w:tcPr>
            <w:tcW w:w="1129" w:type="dxa"/>
            <w:shd w:val="clear" w:color="auto" w:fill="F2F2F2" w:themeFill="background1" w:themeFillShade="F2"/>
          </w:tcPr>
          <w:p w14:paraId="6114EE82" w14:textId="77777777" w:rsidR="00AC2B7E" w:rsidRPr="00F72486" w:rsidRDefault="00AC2B7E" w:rsidP="002947AA">
            <w:pPr>
              <w:rPr>
                <w:rFonts w:ascii="Arial" w:hAnsi="Arial" w:cs="Arial"/>
                <w:bCs/>
                <w:sz w:val="24"/>
                <w:szCs w:val="24"/>
              </w:rPr>
            </w:pPr>
          </w:p>
        </w:tc>
        <w:tc>
          <w:tcPr>
            <w:tcW w:w="2835" w:type="dxa"/>
            <w:shd w:val="clear" w:color="auto" w:fill="F2F2F2" w:themeFill="background1" w:themeFillShade="F2"/>
          </w:tcPr>
          <w:p w14:paraId="7B0EE74F" w14:textId="77777777" w:rsidR="00AC2B7E" w:rsidRPr="00F72486" w:rsidRDefault="00AC2B7E" w:rsidP="002947AA">
            <w:pPr>
              <w:rPr>
                <w:rFonts w:ascii="Arial" w:eastAsia="Times New Roman" w:hAnsi="Arial" w:cs="Arial"/>
                <w:sz w:val="24"/>
                <w:szCs w:val="24"/>
                <w:lang w:eastAsia="en-GB"/>
              </w:rPr>
            </w:pPr>
          </w:p>
        </w:tc>
        <w:tc>
          <w:tcPr>
            <w:tcW w:w="1418" w:type="dxa"/>
            <w:shd w:val="clear" w:color="auto" w:fill="F2F2F2" w:themeFill="background1" w:themeFillShade="F2"/>
          </w:tcPr>
          <w:p w14:paraId="05CCCC18" w14:textId="77777777" w:rsidR="00AC2B7E" w:rsidRPr="00F72486" w:rsidRDefault="00AC2B7E" w:rsidP="002947AA">
            <w:pPr>
              <w:rPr>
                <w:rFonts w:ascii="Arial" w:hAnsi="Arial" w:cs="Arial"/>
                <w:sz w:val="24"/>
                <w:szCs w:val="24"/>
              </w:rPr>
            </w:pPr>
          </w:p>
        </w:tc>
        <w:tc>
          <w:tcPr>
            <w:tcW w:w="4394" w:type="dxa"/>
            <w:shd w:val="clear" w:color="auto" w:fill="F2F2F2" w:themeFill="background1" w:themeFillShade="F2"/>
          </w:tcPr>
          <w:p w14:paraId="1CBE7B14" w14:textId="3445DA3F" w:rsidR="00AC2B7E" w:rsidRPr="00F72486" w:rsidRDefault="00AC2B7E" w:rsidP="002947AA">
            <w:pPr>
              <w:rPr>
                <w:rFonts w:ascii="Arial" w:hAnsi="Arial" w:cs="Arial"/>
                <w:bCs/>
                <w:sz w:val="24"/>
                <w:szCs w:val="24"/>
              </w:rPr>
            </w:pPr>
            <w:r w:rsidRPr="00F72486">
              <w:rPr>
                <w:rFonts w:ascii="Arial" w:hAnsi="Arial" w:cs="Arial"/>
                <w:bCs/>
                <w:sz w:val="24"/>
                <w:szCs w:val="24"/>
              </w:rPr>
              <w:t>Is the Council on track to meet the target of 120 by the end of 2023/24?</w:t>
            </w:r>
          </w:p>
        </w:tc>
        <w:tc>
          <w:tcPr>
            <w:tcW w:w="4172" w:type="dxa"/>
            <w:shd w:val="clear" w:color="auto" w:fill="F2F2F2" w:themeFill="background1" w:themeFillShade="F2"/>
          </w:tcPr>
          <w:p w14:paraId="5284773F" w14:textId="1CC16125" w:rsidR="00AC2B7E" w:rsidRPr="00F72486" w:rsidRDefault="00775447" w:rsidP="00775447">
            <w:pPr>
              <w:rPr>
                <w:rFonts w:ascii="Arial" w:hAnsi="Arial" w:cs="Arial"/>
                <w:sz w:val="24"/>
                <w:szCs w:val="24"/>
              </w:rPr>
            </w:pPr>
            <w:r w:rsidRPr="00F72486">
              <w:rPr>
                <w:rFonts w:ascii="Arial" w:hAnsi="Arial" w:cs="Arial"/>
                <w:sz w:val="24"/>
                <w:szCs w:val="24"/>
              </w:rPr>
              <w:t xml:space="preserve">The target is likely to be met as the volume of service requests increases, however as the Council </w:t>
            </w:r>
            <w:r w:rsidRPr="00F72486">
              <w:rPr>
                <w:rFonts w:ascii="Arial" w:hAnsi="Arial" w:cs="Arial"/>
                <w:sz w:val="24"/>
                <w:szCs w:val="24"/>
              </w:rPr>
              <w:lastRenderedPageBreak/>
              <w:t>has only 1 T</w:t>
            </w:r>
            <w:r w:rsidR="00E05D58" w:rsidRPr="00F72486">
              <w:rPr>
                <w:rFonts w:ascii="Arial" w:hAnsi="Arial" w:cs="Arial"/>
                <w:sz w:val="24"/>
                <w:szCs w:val="24"/>
              </w:rPr>
              <w:t xml:space="preserve">enancy </w:t>
            </w:r>
            <w:r w:rsidRPr="00F72486">
              <w:rPr>
                <w:rFonts w:ascii="Arial" w:hAnsi="Arial" w:cs="Arial"/>
                <w:sz w:val="24"/>
                <w:szCs w:val="24"/>
              </w:rPr>
              <w:t>R</w:t>
            </w:r>
            <w:r w:rsidR="00E05D58" w:rsidRPr="00F72486">
              <w:rPr>
                <w:rFonts w:ascii="Arial" w:hAnsi="Arial" w:cs="Arial"/>
                <w:sz w:val="24"/>
                <w:szCs w:val="24"/>
              </w:rPr>
              <w:t xml:space="preserve">elations </w:t>
            </w:r>
            <w:r w:rsidRPr="00F72486">
              <w:rPr>
                <w:rFonts w:ascii="Arial" w:hAnsi="Arial" w:cs="Arial"/>
                <w:sz w:val="24"/>
                <w:szCs w:val="24"/>
              </w:rPr>
              <w:t>O</w:t>
            </w:r>
            <w:r w:rsidR="00E05D58" w:rsidRPr="00F72486">
              <w:rPr>
                <w:rFonts w:ascii="Arial" w:hAnsi="Arial" w:cs="Arial"/>
                <w:sz w:val="24"/>
                <w:szCs w:val="24"/>
              </w:rPr>
              <w:t>fficer (TRO)</w:t>
            </w:r>
            <w:r w:rsidRPr="00F72486">
              <w:rPr>
                <w:rFonts w:ascii="Arial" w:hAnsi="Arial" w:cs="Arial"/>
                <w:sz w:val="24"/>
                <w:szCs w:val="24"/>
              </w:rPr>
              <w:t xml:space="preserve"> this will be dependent on resource availability.</w:t>
            </w:r>
          </w:p>
        </w:tc>
      </w:tr>
      <w:tr w:rsidR="002947AA" w:rsidRPr="00F72486" w14:paraId="760195B4" w14:textId="77777777" w:rsidTr="007A3EEA">
        <w:tc>
          <w:tcPr>
            <w:tcW w:w="1129" w:type="dxa"/>
          </w:tcPr>
          <w:p w14:paraId="73CDE8D1" w14:textId="7A6321D5" w:rsidR="002947AA" w:rsidRPr="00F72486" w:rsidRDefault="002947AA" w:rsidP="002947AA">
            <w:pPr>
              <w:rPr>
                <w:rFonts w:ascii="Arial" w:hAnsi="Arial" w:cs="Arial"/>
                <w:bCs/>
                <w:sz w:val="24"/>
                <w:szCs w:val="24"/>
              </w:rPr>
            </w:pPr>
            <w:r w:rsidRPr="00F72486">
              <w:rPr>
                <w:rFonts w:ascii="Arial" w:hAnsi="Arial" w:cs="Arial"/>
                <w:bCs/>
                <w:sz w:val="24"/>
                <w:szCs w:val="24"/>
              </w:rPr>
              <w:lastRenderedPageBreak/>
              <w:t>HSC014</w:t>
            </w:r>
          </w:p>
        </w:tc>
        <w:tc>
          <w:tcPr>
            <w:tcW w:w="2835" w:type="dxa"/>
          </w:tcPr>
          <w:p w14:paraId="3D698F57" w14:textId="3E06F4C0" w:rsidR="002947AA" w:rsidRPr="00F72486" w:rsidRDefault="002947AA" w:rsidP="002947AA">
            <w:pPr>
              <w:rPr>
                <w:rFonts w:ascii="Arial" w:eastAsia="Times New Roman" w:hAnsi="Arial" w:cs="Arial"/>
                <w:sz w:val="24"/>
                <w:szCs w:val="24"/>
                <w:lang w:eastAsia="en-GB"/>
              </w:rPr>
            </w:pPr>
            <w:r w:rsidRPr="00F72486">
              <w:rPr>
                <w:rFonts w:ascii="Arial" w:eastAsia="Times New Roman" w:hAnsi="Arial" w:cs="Arial"/>
                <w:sz w:val="24"/>
                <w:szCs w:val="24"/>
                <w:lang w:eastAsia="en-GB"/>
              </w:rPr>
              <w:t>Percentage of council owned stock that has an EPC below C</w:t>
            </w:r>
          </w:p>
        </w:tc>
        <w:tc>
          <w:tcPr>
            <w:tcW w:w="1418" w:type="dxa"/>
          </w:tcPr>
          <w:p w14:paraId="15ACC85C" w14:textId="700D6BCA" w:rsidR="002947AA" w:rsidRPr="00F72486" w:rsidRDefault="002947AA" w:rsidP="002947AA">
            <w:pPr>
              <w:rPr>
                <w:rFonts w:ascii="Arial" w:hAnsi="Arial" w:cs="Arial"/>
                <w:sz w:val="24"/>
                <w:szCs w:val="24"/>
              </w:rPr>
            </w:pPr>
            <w:r w:rsidRPr="00F72486">
              <w:rPr>
                <w:rFonts w:ascii="Arial" w:hAnsi="Arial" w:cs="Arial"/>
                <w:sz w:val="24"/>
                <w:szCs w:val="24"/>
              </w:rPr>
              <w:t>Nerys Parry</w:t>
            </w:r>
          </w:p>
        </w:tc>
        <w:tc>
          <w:tcPr>
            <w:tcW w:w="4394" w:type="dxa"/>
          </w:tcPr>
          <w:p w14:paraId="208F3D67" w14:textId="54A46F2D" w:rsidR="002947AA" w:rsidRPr="00F72486" w:rsidRDefault="00AC2B7E" w:rsidP="002947AA">
            <w:pPr>
              <w:rPr>
                <w:rFonts w:ascii="Arial" w:hAnsi="Arial" w:cs="Arial"/>
                <w:bCs/>
                <w:sz w:val="24"/>
                <w:szCs w:val="24"/>
              </w:rPr>
            </w:pPr>
            <w:r w:rsidRPr="00F72486">
              <w:rPr>
                <w:rFonts w:ascii="Arial" w:hAnsi="Arial" w:cs="Arial"/>
                <w:bCs/>
                <w:sz w:val="24"/>
                <w:szCs w:val="24"/>
              </w:rPr>
              <w:t xml:space="preserve">Is EPC below C A-B or D-G? </w:t>
            </w:r>
            <w:r w:rsidRPr="00F72486">
              <w:rPr>
                <w:rFonts w:ascii="Arial" w:hAnsi="Arial" w:cs="Arial"/>
                <w:sz w:val="24"/>
                <w:szCs w:val="24"/>
              </w:rPr>
              <w:t>On the face of it (assuming ‘below C’ means D-G), it looks as though there has been improvement, but the RAG-rating is red. Can the end of year result for 2022/23 be clarified?</w:t>
            </w:r>
          </w:p>
        </w:tc>
        <w:tc>
          <w:tcPr>
            <w:tcW w:w="4172" w:type="dxa"/>
          </w:tcPr>
          <w:p w14:paraId="323352F0" w14:textId="5ADBC8CF" w:rsidR="002947AA" w:rsidRPr="00F72486" w:rsidRDefault="008B3694" w:rsidP="002947AA">
            <w:pPr>
              <w:rPr>
                <w:rFonts w:ascii="Arial" w:hAnsi="Arial" w:cs="Arial"/>
                <w:sz w:val="24"/>
                <w:szCs w:val="24"/>
              </w:rPr>
            </w:pPr>
            <w:r w:rsidRPr="00F72486">
              <w:rPr>
                <w:rFonts w:ascii="Arial" w:hAnsi="Arial" w:cs="Arial"/>
                <w:sz w:val="24"/>
                <w:szCs w:val="24"/>
              </w:rPr>
              <w:t>Below C is EPC ratings D, E, F and G. Red RAG rating does not relate to this action.</w:t>
            </w:r>
          </w:p>
        </w:tc>
      </w:tr>
      <w:tr w:rsidR="002947AA" w:rsidRPr="00F72486" w14:paraId="0900D8B4" w14:textId="77777777" w:rsidTr="007A3EEA">
        <w:tc>
          <w:tcPr>
            <w:tcW w:w="1129" w:type="dxa"/>
          </w:tcPr>
          <w:p w14:paraId="10F8E2AC" w14:textId="77777777" w:rsidR="002947AA" w:rsidRPr="00F72486" w:rsidRDefault="002947AA" w:rsidP="002947AA">
            <w:pPr>
              <w:rPr>
                <w:rFonts w:ascii="Arial" w:hAnsi="Arial" w:cs="Arial"/>
                <w:bCs/>
                <w:sz w:val="24"/>
                <w:szCs w:val="24"/>
              </w:rPr>
            </w:pPr>
          </w:p>
        </w:tc>
        <w:tc>
          <w:tcPr>
            <w:tcW w:w="2835" w:type="dxa"/>
          </w:tcPr>
          <w:p w14:paraId="371CA951" w14:textId="77777777" w:rsidR="002947AA" w:rsidRPr="00F72486" w:rsidRDefault="002947AA" w:rsidP="002947AA">
            <w:pPr>
              <w:rPr>
                <w:rFonts w:ascii="Arial" w:eastAsia="Times New Roman" w:hAnsi="Arial" w:cs="Arial"/>
                <w:sz w:val="24"/>
                <w:szCs w:val="24"/>
                <w:lang w:eastAsia="en-GB"/>
              </w:rPr>
            </w:pPr>
          </w:p>
        </w:tc>
        <w:tc>
          <w:tcPr>
            <w:tcW w:w="1418" w:type="dxa"/>
          </w:tcPr>
          <w:p w14:paraId="6198512E" w14:textId="77777777" w:rsidR="002947AA" w:rsidRPr="00F72486" w:rsidRDefault="002947AA" w:rsidP="002947AA">
            <w:pPr>
              <w:rPr>
                <w:rFonts w:ascii="Arial" w:hAnsi="Arial" w:cs="Arial"/>
                <w:sz w:val="24"/>
                <w:szCs w:val="24"/>
              </w:rPr>
            </w:pPr>
          </w:p>
        </w:tc>
        <w:tc>
          <w:tcPr>
            <w:tcW w:w="4394" w:type="dxa"/>
          </w:tcPr>
          <w:p w14:paraId="2B6F39DD" w14:textId="5418D7A3" w:rsidR="002947AA" w:rsidRPr="00F72486" w:rsidRDefault="00AC2B7E" w:rsidP="002947AA">
            <w:pPr>
              <w:rPr>
                <w:rFonts w:ascii="Arial" w:hAnsi="Arial" w:cs="Arial"/>
                <w:bCs/>
                <w:sz w:val="24"/>
                <w:szCs w:val="24"/>
              </w:rPr>
            </w:pPr>
            <w:r w:rsidRPr="00F72486">
              <w:rPr>
                <w:rFonts w:ascii="Arial" w:hAnsi="Arial" w:cs="Arial"/>
                <w:bCs/>
                <w:sz w:val="24"/>
                <w:szCs w:val="24"/>
              </w:rPr>
              <w:t>Why does the result for Q1 2023/24 state ‘N/A’ – is there a result which is missing?</w:t>
            </w:r>
          </w:p>
        </w:tc>
        <w:tc>
          <w:tcPr>
            <w:tcW w:w="4172" w:type="dxa"/>
          </w:tcPr>
          <w:p w14:paraId="0B567BA2" w14:textId="77777777" w:rsidR="008B3694" w:rsidRPr="00F72486" w:rsidRDefault="008B3694" w:rsidP="008B3694">
            <w:pPr>
              <w:pStyle w:val="xxxxxmsonormal"/>
              <w:rPr>
                <w:rFonts w:ascii="Arial" w:hAnsi="Arial" w:cs="Arial"/>
                <w:sz w:val="24"/>
                <w:szCs w:val="24"/>
              </w:rPr>
            </w:pPr>
            <w:r w:rsidRPr="00F72486">
              <w:rPr>
                <w:rFonts w:ascii="Arial" w:hAnsi="Arial" w:cs="Arial"/>
                <w:sz w:val="24"/>
                <w:szCs w:val="24"/>
              </w:rPr>
              <w:t xml:space="preserve">It is an annual target, not quarterly. </w:t>
            </w:r>
          </w:p>
          <w:p w14:paraId="650B9931" w14:textId="52686446" w:rsidR="002947AA" w:rsidRPr="00F72486" w:rsidRDefault="008B3694" w:rsidP="008B3694">
            <w:pPr>
              <w:rPr>
                <w:rFonts w:ascii="Arial" w:hAnsi="Arial" w:cs="Arial"/>
                <w:sz w:val="24"/>
                <w:szCs w:val="24"/>
              </w:rPr>
            </w:pPr>
            <w:r w:rsidRPr="00F72486">
              <w:rPr>
                <w:rFonts w:ascii="Arial" w:hAnsi="Arial" w:cs="Arial"/>
                <w:sz w:val="24"/>
                <w:szCs w:val="24"/>
              </w:rPr>
              <w:t>2023/24 Project delivery has not commenced therefore figure remains at last report of 23.6%.</w:t>
            </w:r>
          </w:p>
        </w:tc>
      </w:tr>
    </w:tbl>
    <w:p w14:paraId="0B7CFAF7" w14:textId="77777777" w:rsidR="005F66CC" w:rsidRPr="00F72486" w:rsidRDefault="005F66CC">
      <w:pPr>
        <w:rPr>
          <w:rFonts w:ascii="Arial" w:hAnsi="Arial" w:cs="Arial"/>
          <w:sz w:val="24"/>
          <w:szCs w:val="24"/>
        </w:rPr>
      </w:pPr>
    </w:p>
    <w:sectPr w:rsidR="005F66CC" w:rsidRPr="00F72486" w:rsidSect="005F66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CC"/>
    <w:rsid w:val="00065F44"/>
    <w:rsid w:val="00133563"/>
    <w:rsid w:val="00202842"/>
    <w:rsid w:val="00292A47"/>
    <w:rsid w:val="002947AA"/>
    <w:rsid w:val="002A0333"/>
    <w:rsid w:val="00366B0D"/>
    <w:rsid w:val="004043A7"/>
    <w:rsid w:val="00424F95"/>
    <w:rsid w:val="005D5E12"/>
    <w:rsid w:val="005F66CC"/>
    <w:rsid w:val="00603C31"/>
    <w:rsid w:val="00681943"/>
    <w:rsid w:val="00712D1F"/>
    <w:rsid w:val="00731063"/>
    <w:rsid w:val="00775447"/>
    <w:rsid w:val="007A3EEA"/>
    <w:rsid w:val="00843C21"/>
    <w:rsid w:val="008B3694"/>
    <w:rsid w:val="008F7E5E"/>
    <w:rsid w:val="00903A00"/>
    <w:rsid w:val="009056CE"/>
    <w:rsid w:val="0097148A"/>
    <w:rsid w:val="009F7F09"/>
    <w:rsid w:val="00A73FF2"/>
    <w:rsid w:val="00AC2B7E"/>
    <w:rsid w:val="00B838B7"/>
    <w:rsid w:val="00BB0C9D"/>
    <w:rsid w:val="00C26909"/>
    <w:rsid w:val="00D475CC"/>
    <w:rsid w:val="00DC4FAA"/>
    <w:rsid w:val="00DE5A56"/>
    <w:rsid w:val="00E05D58"/>
    <w:rsid w:val="00E71B77"/>
    <w:rsid w:val="00EB50D1"/>
    <w:rsid w:val="00F72486"/>
    <w:rsid w:val="00FD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331F"/>
  <w15:chartTrackingRefBased/>
  <w15:docId w15:val="{72CDB3F6-84B4-4ADC-B22B-8B568AD9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75447"/>
    <w:pPr>
      <w:spacing w:after="0" w:line="240" w:lineRule="auto"/>
    </w:pPr>
    <w:rPr>
      <w:rFonts w:ascii="Calibri" w:hAnsi="Calibri" w:cs="Calibri"/>
      <w:lang w:eastAsia="en-GB"/>
    </w:rPr>
  </w:style>
  <w:style w:type="character" w:styleId="Hyperlink">
    <w:name w:val="Hyperlink"/>
    <w:basedOn w:val="DefaultParagraphFont"/>
    <w:uiPriority w:val="99"/>
    <w:unhideWhenUsed/>
    <w:rsid w:val="00E05D58"/>
    <w:rPr>
      <w:color w:val="0563C1" w:themeColor="hyperlink"/>
      <w:u w:val="single"/>
    </w:rPr>
  </w:style>
  <w:style w:type="character" w:styleId="UnresolvedMention">
    <w:name w:val="Unresolved Mention"/>
    <w:basedOn w:val="DefaultParagraphFont"/>
    <w:uiPriority w:val="99"/>
    <w:semiHidden/>
    <w:unhideWhenUsed/>
    <w:rsid w:val="00E05D58"/>
    <w:rPr>
      <w:color w:val="605E5C"/>
      <w:shd w:val="clear" w:color="auto" w:fill="E1DFDD"/>
    </w:rPr>
  </w:style>
  <w:style w:type="character" w:customStyle="1" w:styleId="contentpasted0">
    <w:name w:val="contentpasted0"/>
    <w:basedOn w:val="DefaultParagraphFont"/>
    <w:rsid w:val="00712D1F"/>
  </w:style>
  <w:style w:type="character" w:styleId="CommentReference">
    <w:name w:val="annotation reference"/>
    <w:basedOn w:val="DefaultParagraphFont"/>
    <w:uiPriority w:val="99"/>
    <w:semiHidden/>
    <w:unhideWhenUsed/>
    <w:rsid w:val="00712D1F"/>
    <w:rPr>
      <w:sz w:val="16"/>
      <w:szCs w:val="16"/>
    </w:rPr>
  </w:style>
  <w:style w:type="paragraph" w:styleId="CommentText">
    <w:name w:val="annotation text"/>
    <w:basedOn w:val="Normal"/>
    <w:link w:val="CommentTextChar"/>
    <w:uiPriority w:val="99"/>
    <w:unhideWhenUsed/>
    <w:rsid w:val="00712D1F"/>
    <w:pPr>
      <w:spacing w:line="240" w:lineRule="auto"/>
    </w:pPr>
    <w:rPr>
      <w:sz w:val="20"/>
      <w:szCs w:val="20"/>
    </w:rPr>
  </w:style>
  <w:style w:type="character" w:customStyle="1" w:styleId="CommentTextChar">
    <w:name w:val="Comment Text Char"/>
    <w:basedOn w:val="DefaultParagraphFont"/>
    <w:link w:val="CommentText"/>
    <w:uiPriority w:val="99"/>
    <w:rsid w:val="00712D1F"/>
    <w:rPr>
      <w:sz w:val="20"/>
      <w:szCs w:val="20"/>
    </w:rPr>
  </w:style>
  <w:style w:type="paragraph" w:styleId="CommentSubject">
    <w:name w:val="annotation subject"/>
    <w:basedOn w:val="CommentText"/>
    <w:next w:val="CommentText"/>
    <w:link w:val="CommentSubjectChar"/>
    <w:uiPriority w:val="99"/>
    <w:semiHidden/>
    <w:unhideWhenUsed/>
    <w:rsid w:val="00712D1F"/>
    <w:rPr>
      <w:b/>
      <w:bCs/>
    </w:rPr>
  </w:style>
  <w:style w:type="character" w:customStyle="1" w:styleId="CommentSubjectChar">
    <w:name w:val="Comment Subject Char"/>
    <w:basedOn w:val="CommentTextChar"/>
    <w:link w:val="CommentSubject"/>
    <w:uiPriority w:val="99"/>
    <w:semiHidden/>
    <w:rsid w:val="00712D1F"/>
    <w:rPr>
      <w:b/>
      <w:bCs/>
      <w:sz w:val="20"/>
      <w:szCs w:val="20"/>
    </w:rPr>
  </w:style>
  <w:style w:type="paragraph" w:customStyle="1" w:styleId="xxxxxmsonormal">
    <w:name w:val="x_x_x_xxmsonormal"/>
    <w:basedOn w:val="Normal"/>
    <w:rsid w:val="008B3694"/>
    <w:pPr>
      <w:spacing w:after="0" w:line="240" w:lineRule="auto"/>
    </w:pPr>
    <w:rPr>
      <w:rFonts w:ascii="Calibri" w:hAnsi="Calibri" w:cs="Calibri"/>
      <w:lang w:eastAsia="en-GB"/>
    </w:rPr>
  </w:style>
  <w:style w:type="character" w:customStyle="1" w:styleId="contentpasted1">
    <w:name w:val="contentpasted1"/>
    <w:basedOn w:val="DefaultParagraphFont"/>
    <w:rsid w:val="00133563"/>
  </w:style>
  <w:style w:type="paragraph" w:styleId="NormalWeb">
    <w:name w:val="Normal (Web)"/>
    <w:basedOn w:val="Normal"/>
    <w:uiPriority w:val="99"/>
    <w:unhideWhenUsed/>
    <w:rsid w:val="008F7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toproof">
    <w:name w:val="elementtoproof"/>
    <w:basedOn w:val="DefaultParagraphFont"/>
    <w:rsid w:val="0006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931">
      <w:bodyDiv w:val="1"/>
      <w:marLeft w:val="0"/>
      <w:marRight w:val="0"/>
      <w:marTop w:val="0"/>
      <w:marBottom w:val="0"/>
      <w:divBdr>
        <w:top w:val="none" w:sz="0" w:space="0" w:color="auto"/>
        <w:left w:val="none" w:sz="0" w:space="0" w:color="auto"/>
        <w:bottom w:val="none" w:sz="0" w:space="0" w:color="auto"/>
        <w:right w:val="none" w:sz="0" w:space="0" w:color="auto"/>
      </w:divBdr>
    </w:div>
    <w:div w:id="231544427">
      <w:bodyDiv w:val="1"/>
      <w:marLeft w:val="0"/>
      <w:marRight w:val="0"/>
      <w:marTop w:val="0"/>
      <w:marBottom w:val="0"/>
      <w:divBdr>
        <w:top w:val="none" w:sz="0" w:space="0" w:color="auto"/>
        <w:left w:val="none" w:sz="0" w:space="0" w:color="auto"/>
        <w:bottom w:val="none" w:sz="0" w:space="0" w:color="auto"/>
        <w:right w:val="none" w:sz="0" w:space="0" w:color="auto"/>
      </w:divBdr>
    </w:div>
    <w:div w:id="258102824">
      <w:bodyDiv w:val="1"/>
      <w:marLeft w:val="0"/>
      <w:marRight w:val="0"/>
      <w:marTop w:val="0"/>
      <w:marBottom w:val="0"/>
      <w:divBdr>
        <w:top w:val="none" w:sz="0" w:space="0" w:color="auto"/>
        <w:left w:val="none" w:sz="0" w:space="0" w:color="auto"/>
        <w:bottom w:val="none" w:sz="0" w:space="0" w:color="auto"/>
        <w:right w:val="none" w:sz="0" w:space="0" w:color="auto"/>
      </w:divBdr>
    </w:div>
    <w:div w:id="338428600">
      <w:bodyDiv w:val="1"/>
      <w:marLeft w:val="0"/>
      <w:marRight w:val="0"/>
      <w:marTop w:val="0"/>
      <w:marBottom w:val="0"/>
      <w:divBdr>
        <w:top w:val="none" w:sz="0" w:space="0" w:color="auto"/>
        <w:left w:val="none" w:sz="0" w:space="0" w:color="auto"/>
        <w:bottom w:val="none" w:sz="0" w:space="0" w:color="auto"/>
        <w:right w:val="none" w:sz="0" w:space="0" w:color="auto"/>
      </w:divBdr>
    </w:div>
    <w:div w:id="456266310">
      <w:bodyDiv w:val="1"/>
      <w:marLeft w:val="0"/>
      <w:marRight w:val="0"/>
      <w:marTop w:val="0"/>
      <w:marBottom w:val="0"/>
      <w:divBdr>
        <w:top w:val="none" w:sz="0" w:space="0" w:color="auto"/>
        <w:left w:val="none" w:sz="0" w:space="0" w:color="auto"/>
        <w:bottom w:val="none" w:sz="0" w:space="0" w:color="auto"/>
        <w:right w:val="none" w:sz="0" w:space="0" w:color="auto"/>
      </w:divBdr>
    </w:div>
    <w:div w:id="616258126">
      <w:bodyDiv w:val="1"/>
      <w:marLeft w:val="0"/>
      <w:marRight w:val="0"/>
      <w:marTop w:val="0"/>
      <w:marBottom w:val="0"/>
      <w:divBdr>
        <w:top w:val="none" w:sz="0" w:space="0" w:color="auto"/>
        <w:left w:val="none" w:sz="0" w:space="0" w:color="auto"/>
        <w:bottom w:val="none" w:sz="0" w:space="0" w:color="auto"/>
        <w:right w:val="none" w:sz="0" w:space="0" w:color="auto"/>
      </w:divBdr>
    </w:div>
    <w:div w:id="634069916">
      <w:bodyDiv w:val="1"/>
      <w:marLeft w:val="0"/>
      <w:marRight w:val="0"/>
      <w:marTop w:val="0"/>
      <w:marBottom w:val="0"/>
      <w:divBdr>
        <w:top w:val="none" w:sz="0" w:space="0" w:color="auto"/>
        <w:left w:val="none" w:sz="0" w:space="0" w:color="auto"/>
        <w:bottom w:val="none" w:sz="0" w:space="0" w:color="auto"/>
        <w:right w:val="none" w:sz="0" w:space="0" w:color="auto"/>
      </w:divBdr>
    </w:div>
    <w:div w:id="671879288">
      <w:bodyDiv w:val="1"/>
      <w:marLeft w:val="0"/>
      <w:marRight w:val="0"/>
      <w:marTop w:val="0"/>
      <w:marBottom w:val="0"/>
      <w:divBdr>
        <w:top w:val="none" w:sz="0" w:space="0" w:color="auto"/>
        <w:left w:val="none" w:sz="0" w:space="0" w:color="auto"/>
        <w:bottom w:val="none" w:sz="0" w:space="0" w:color="auto"/>
        <w:right w:val="none" w:sz="0" w:space="0" w:color="auto"/>
      </w:divBdr>
    </w:div>
    <w:div w:id="711879698">
      <w:bodyDiv w:val="1"/>
      <w:marLeft w:val="0"/>
      <w:marRight w:val="0"/>
      <w:marTop w:val="0"/>
      <w:marBottom w:val="0"/>
      <w:divBdr>
        <w:top w:val="none" w:sz="0" w:space="0" w:color="auto"/>
        <w:left w:val="none" w:sz="0" w:space="0" w:color="auto"/>
        <w:bottom w:val="none" w:sz="0" w:space="0" w:color="auto"/>
        <w:right w:val="none" w:sz="0" w:space="0" w:color="auto"/>
      </w:divBdr>
    </w:div>
    <w:div w:id="1335646790">
      <w:bodyDiv w:val="1"/>
      <w:marLeft w:val="0"/>
      <w:marRight w:val="0"/>
      <w:marTop w:val="0"/>
      <w:marBottom w:val="0"/>
      <w:divBdr>
        <w:top w:val="none" w:sz="0" w:space="0" w:color="auto"/>
        <w:left w:val="none" w:sz="0" w:space="0" w:color="auto"/>
        <w:bottom w:val="none" w:sz="0" w:space="0" w:color="auto"/>
        <w:right w:val="none" w:sz="0" w:space="0" w:color="auto"/>
      </w:divBdr>
    </w:div>
    <w:div w:id="1345017872">
      <w:bodyDiv w:val="1"/>
      <w:marLeft w:val="0"/>
      <w:marRight w:val="0"/>
      <w:marTop w:val="0"/>
      <w:marBottom w:val="0"/>
      <w:divBdr>
        <w:top w:val="none" w:sz="0" w:space="0" w:color="auto"/>
        <w:left w:val="none" w:sz="0" w:space="0" w:color="auto"/>
        <w:bottom w:val="none" w:sz="0" w:space="0" w:color="auto"/>
        <w:right w:val="none" w:sz="0" w:space="0" w:color="auto"/>
      </w:divBdr>
    </w:div>
    <w:div w:id="1381124486">
      <w:bodyDiv w:val="1"/>
      <w:marLeft w:val="0"/>
      <w:marRight w:val="0"/>
      <w:marTop w:val="0"/>
      <w:marBottom w:val="0"/>
      <w:divBdr>
        <w:top w:val="none" w:sz="0" w:space="0" w:color="auto"/>
        <w:left w:val="none" w:sz="0" w:space="0" w:color="auto"/>
        <w:bottom w:val="none" w:sz="0" w:space="0" w:color="auto"/>
        <w:right w:val="none" w:sz="0" w:space="0" w:color="auto"/>
      </w:divBdr>
    </w:div>
    <w:div w:id="1417093397">
      <w:bodyDiv w:val="1"/>
      <w:marLeft w:val="0"/>
      <w:marRight w:val="0"/>
      <w:marTop w:val="0"/>
      <w:marBottom w:val="0"/>
      <w:divBdr>
        <w:top w:val="none" w:sz="0" w:space="0" w:color="auto"/>
        <w:left w:val="none" w:sz="0" w:space="0" w:color="auto"/>
        <w:bottom w:val="none" w:sz="0" w:space="0" w:color="auto"/>
        <w:right w:val="none" w:sz="0" w:space="0" w:color="auto"/>
      </w:divBdr>
    </w:div>
    <w:div w:id="1528711466">
      <w:bodyDiv w:val="1"/>
      <w:marLeft w:val="0"/>
      <w:marRight w:val="0"/>
      <w:marTop w:val="0"/>
      <w:marBottom w:val="0"/>
      <w:divBdr>
        <w:top w:val="none" w:sz="0" w:space="0" w:color="auto"/>
        <w:left w:val="none" w:sz="0" w:space="0" w:color="auto"/>
        <w:bottom w:val="none" w:sz="0" w:space="0" w:color="auto"/>
        <w:right w:val="none" w:sz="0" w:space="0" w:color="auto"/>
      </w:divBdr>
    </w:div>
    <w:div w:id="1633555356">
      <w:bodyDiv w:val="1"/>
      <w:marLeft w:val="0"/>
      <w:marRight w:val="0"/>
      <w:marTop w:val="0"/>
      <w:marBottom w:val="0"/>
      <w:divBdr>
        <w:top w:val="none" w:sz="0" w:space="0" w:color="auto"/>
        <w:left w:val="none" w:sz="0" w:space="0" w:color="auto"/>
        <w:bottom w:val="none" w:sz="0" w:space="0" w:color="auto"/>
        <w:right w:val="none" w:sz="0" w:space="0" w:color="auto"/>
      </w:divBdr>
    </w:div>
    <w:div w:id="1636835727">
      <w:bodyDiv w:val="1"/>
      <w:marLeft w:val="0"/>
      <w:marRight w:val="0"/>
      <w:marTop w:val="0"/>
      <w:marBottom w:val="0"/>
      <w:divBdr>
        <w:top w:val="none" w:sz="0" w:space="0" w:color="auto"/>
        <w:left w:val="none" w:sz="0" w:space="0" w:color="auto"/>
        <w:bottom w:val="none" w:sz="0" w:space="0" w:color="auto"/>
        <w:right w:val="none" w:sz="0" w:space="0" w:color="auto"/>
      </w:divBdr>
    </w:div>
    <w:div w:id="1779712624">
      <w:bodyDiv w:val="1"/>
      <w:marLeft w:val="0"/>
      <w:marRight w:val="0"/>
      <w:marTop w:val="0"/>
      <w:marBottom w:val="0"/>
      <w:divBdr>
        <w:top w:val="none" w:sz="0" w:space="0" w:color="auto"/>
        <w:left w:val="none" w:sz="0" w:space="0" w:color="auto"/>
        <w:bottom w:val="none" w:sz="0" w:space="0" w:color="auto"/>
        <w:right w:val="none" w:sz="0" w:space="0" w:color="auto"/>
      </w:divBdr>
    </w:div>
    <w:div w:id="1839227783">
      <w:bodyDiv w:val="1"/>
      <w:marLeft w:val="0"/>
      <w:marRight w:val="0"/>
      <w:marTop w:val="0"/>
      <w:marBottom w:val="0"/>
      <w:divBdr>
        <w:top w:val="none" w:sz="0" w:space="0" w:color="auto"/>
        <w:left w:val="none" w:sz="0" w:space="0" w:color="auto"/>
        <w:bottom w:val="none" w:sz="0" w:space="0" w:color="auto"/>
        <w:right w:val="none" w:sz="0" w:space="0" w:color="auto"/>
      </w:divBdr>
    </w:div>
    <w:div w:id="1893883328">
      <w:bodyDiv w:val="1"/>
      <w:marLeft w:val="0"/>
      <w:marRight w:val="0"/>
      <w:marTop w:val="0"/>
      <w:marBottom w:val="0"/>
      <w:divBdr>
        <w:top w:val="none" w:sz="0" w:space="0" w:color="auto"/>
        <w:left w:val="none" w:sz="0" w:space="0" w:color="auto"/>
        <w:bottom w:val="none" w:sz="0" w:space="0" w:color="auto"/>
        <w:right w:val="none" w:sz="0" w:space="0" w:color="auto"/>
      </w:divBdr>
    </w:div>
    <w:div w:id="1933780801">
      <w:bodyDiv w:val="1"/>
      <w:marLeft w:val="0"/>
      <w:marRight w:val="0"/>
      <w:marTop w:val="0"/>
      <w:marBottom w:val="0"/>
      <w:divBdr>
        <w:top w:val="none" w:sz="0" w:space="0" w:color="auto"/>
        <w:left w:val="none" w:sz="0" w:space="0" w:color="auto"/>
        <w:bottom w:val="none" w:sz="0" w:space="0" w:color="auto"/>
        <w:right w:val="none" w:sz="0" w:space="0" w:color="auto"/>
      </w:divBdr>
    </w:div>
    <w:div w:id="2014989774">
      <w:bodyDiv w:val="1"/>
      <w:marLeft w:val="0"/>
      <w:marRight w:val="0"/>
      <w:marTop w:val="0"/>
      <w:marBottom w:val="0"/>
      <w:divBdr>
        <w:top w:val="none" w:sz="0" w:space="0" w:color="auto"/>
        <w:left w:val="none" w:sz="0" w:space="0" w:color="auto"/>
        <w:bottom w:val="none" w:sz="0" w:space="0" w:color="auto"/>
        <w:right w:val="none" w:sz="0" w:space="0" w:color="auto"/>
      </w:divBdr>
    </w:div>
    <w:div w:id="20573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ortengland.org/research-and-data/data/active-lives?section=overview" TargetMode="External"/><Relationship Id="rId4" Type="http://schemas.openxmlformats.org/officeDocument/2006/relationships/hyperlink" Target="https://www.oxford.gov.uk/downloads/download/420/annual_monitoring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13</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25</cp:revision>
  <dcterms:created xsi:type="dcterms:W3CDTF">2023-09-12T08:15:00Z</dcterms:created>
  <dcterms:modified xsi:type="dcterms:W3CDTF">2023-11-21T17:32:00Z</dcterms:modified>
</cp:coreProperties>
</file>